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年乐至县南塔街道项目支出绩效</w:t>
      </w:r>
    </w:p>
    <w:p>
      <w:pPr>
        <w:spacing w:line="580" w:lineRule="exact"/>
        <w:jc w:val="center"/>
        <w:rPr>
          <w:rFonts w:eastAsia="方正小标宋简体"/>
          <w:sz w:val="44"/>
          <w:szCs w:val="44"/>
        </w:rPr>
      </w:pPr>
      <w:r>
        <w:rPr>
          <w:rFonts w:hint="eastAsia" w:eastAsia="方正小标宋简体"/>
          <w:sz w:val="44"/>
          <w:szCs w:val="44"/>
        </w:rPr>
        <w:t>自评报告</w:t>
      </w:r>
    </w:p>
    <w:p>
      <w:pPr>
        <w:spacing w:line="580" w:lineRule="exact"/>
        <w:jc w:val="center"/>
        <w:rPr>
          <w:rFonts w:eastAsia="方正楷体简体"/>
          <w:b/>
          <w:sz w:val="32"/>
          <w:szCs w:val="32"/>
        </w:rPr>
      </w:pPr>
      <w:r>
        <w:rPr>
          <w:rFonts w:hint="eastAsia" w:eastAsia="方正楷体简体"/>
          <w:b/>
          <w:sz w:val="32"/>
          <w:szCs w:val="32"/>
        </w:rPr>
        <w:t>（202</w:t>
      </w:r>
      <w:r>
        <w:rPr>
          <w:rFonts w:hint="eastAsia" w:eastAsia="方正楷体简体"/>
          <w:b/>
          <w:sz w:val="32"/>
          <w:szCs w:val="32"/>
          <w:lang w:val="en-US" w:eastAsia="zh-CN"/>
        </w:rPr>
        <w:t>2</w:t>
      </w:r>
      <w:r>
        <w:rPr>
          <w:rFonts w:hint="eastAsia" w:eastAsia="方正楷体简体"/>
          <w:b/>
          <w:sz w:val="32"/>
          <w:szCs w:val="32"/>
        </w:rPr>
        <w:t>年度城乡社区环境卫生专项资金）</w:t>
      </w:r>
    </w:p>
    <w:p>
      <w:pPr>
        <w:spacing w:line="580" w:lineRule="exact"/>
        <w:ind w:firstLine="640" w:firstLineChars="200"/>
        <w:rPr>
          <w:rFonts w:eastAsia="方正仿宋简体"/>
          <w:sz w:val="32"/>
          <w:szCs w:val="32"/>
        </w:rPr>
      </w:pPr>
    </w:p>
    <w:p>
      <w:pPr>
        <w:spacing w:line="580" w:lineRule="exact"/>
        <w:ind w:firstLine="560" w:firstLineChars="200"/>
        <w:rPr>
          <w:rFonts w:eastAsia="方正仿宋简体"/>
          <w:sz w:val="28"/>
          <w:szCs w:val="28"/>
        </w:rPr>
      </w:pPr>
      <w:r>
        <w:rPr>
          <w:rFonts w:hint="eastAsia" w:eastAsia="方正仿宋简体"/>
          <w:sz w:val="28"/>
          <w:szCs w:val="28"/>
        </w:rPr>
        <w:t>按照乐至县财政局《关于开展202</w:t>
      </w:r>
      <w:r>
        <w:rPr>
          <w:rFonts w:hint="eastAsia" w:eastAsia="方正仿宋简体"/>
          <w:sz w:val="28"/>
          <w:szCs w:val="28"/>
          <w:lang w:val="en-US" w:eastAsia="zh-CN"/>
        </w:rPr>
        <w:t>2</w:t>
      </w:r>
      <w:r>
        <w:rPr>
          <w:rFonts w:hint="eastAsia" w:eastAsia="方正仿宋简体"/>
          <w:sz w:val="28"/>
          <w:szCs w:val="28"/>
        </w:rPr>
        <w:t>年度财政支出绩效自评工作的通知》要求，街道高度重视，认真组织开展202</w:t>
      </w:r>
      <w:r>
        <w:rPr>
          <w:rFonts w:hint="eastAsia" w:eastAsia="方正仿宋简体"/>
          <w:sz w:val="28"/>
          <w:szCs w:val="28"/>
          <w:lang w:val="en-US" w:eastAsia="zh-CN"/>
        </w:rPr>
        <w:t>2</w:t>
      </w:r>
      <w:r>
        <w:rPr>
          <w:rFonts w:hint="eastAsia" w:eastAsia="方正仿宋简体"/>
          <w:sz w:val="28"/>
          <w:szCs w:val="28"/>
        </w:rPr>
        <w:t>年年度城乡社区环境卫生专项资金项目支出绩效自评，现将自评工作总结如下。</w:t>
      </w: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0" w:firstLineChars="200"/>
        <w:rPr>
          <w:rFonts w:eastAsia="方正仿宋简体"/>
          <w:sz w:val="28"/>
          <w:szCs w:val="28"/>
        </w:rPr>
      </w:pPr>
      <w:r>
        <w:rPr>
          <w:rFonts w:hint="eastAsia" w:eastAsia="方正仿宋简体"/>
          <w:sz w:val="32"/>
          <w:szCs w:val="32"/>
        </w:rPr>
        <w:t>1.立项背景和目的。</w:t>
      </w:r>
      <w:r>
        <w:rPr>
          <w:rFonts w:hint="eastAsia" w:eastAsia="方正仿宋简体"/>
          <w:sz w:val="28"/>
          <w:szCs w:val="28"/>
          <w:lang w:val="en-US" w:eastAsia="zh-CN"/>
        </w:rPr>
        <w:t>按照全国文明城市、国家卫生县城和省城乡环境综合治理的相关标准，为</w:t>
      </w:r>
      <w:r>
        <w:rPr>
          <w:rFonts w:hint="eastAsia" w:eastAsia="方正仿宋简体"/>
          <w:sz w:val="28"/>
          <w:szCs w:val="28"/>
        </w:rPr>
        <w:t>有效解决我县城乡环境存在的突出问题，强化城乡环境常态化管理，全力助推“创文"工作、巩固国家卫生县城成果，贯彻落实省、市城乡环境综合治理、农村人居环境整治相关文件精神，决定在全县开展城乡环境综合治理专项行动。</w:t>
      </w:r>
    </w:p>
    <w:p>
      <w:pPr>
        <w:spacing w:line="580" w:lineRule="exact"/>
        <w:ind w:firstLine="640" w:firstLineChars="200"/>
        <w:rPr>
          <w:rFonts w:eastAsia="方正仿宋简体"/>
          <w:sz w:val="28"/>
          <w:szCs w:val="28"/>
        </w:rPr>
      </w:pPr>
      <w:r>
        <w:rPr>
          <w:rFonts w:eastAsia="方正仿宋简体"/>
          <w:b/>
          <w:sz w:val="32"/>
          <w:szCs w:val="32"/>
        </w:rPr>
        <w:t>2.</w:t>
      </w:r>
      <w:r>
        <w:rPr>
          <w:rFonts w:hint="eastAsia" w:eastAsia="方正仿宋简体"/>
          <w:sz w:val="32"/>
          <w:szCs w:val="32"/>
        </w:rPr>
        <w:t>预算资金来源及使用情况。</w:t>
      </w:r>
      <w:r>
        <w:rPr>
          <w:rFonts w:hint="eastAsia" w:eastAsia="方正仿宋简体"/>
          <w:sz w:val="28"/>
          <w:szCs w:val="28"/>
        </w:rPr>
        <w:t>项目全年预算数</w:t>
      </w:r>
      <w:r>
        <w:rPr>
          <w:rFonts w:hint="eastAsia" w:eastAsia="方正仿宋简体"/>
          <w:sz w:val="28"/>
          <w:szCs w:val="28"/>
          <w:lang w:val="en-US" w:eastAsia="zh-CN"/>
        </w:rPr>
        <w:t>31.20</w:t>
      </w:r>
      <w:r>
        <w:rPr>
          <w:rFonts w:hint="eastAsia" w:eastAsia="方正仿宋简体"/>
          <w:sz w:val="28"/>
          <w:szCs w:val="28"/>
        </w:rPr>
        <w:t>万元，执行数为</w:t>
      </w:r>
      <w:r>
        <w:rPr>
          <w:rFonts w:hint="eastAsia" w:eastAsia="方正仿宋简体"/>
          <w:sz w:val="28"/>
          <w:szCs w:val="28"/>
          <w:lang w:val="en-US" w:eastAsia="zh-CN"/>
        </w:rPr>
        <w:t>31.20</w:t>
      </w:r>
      <w:r>
        <w:rPr>
          <w:rFonts w:hint="eastAsia" w:eastAsia="方正仿宋简体"/>
          <w:sz w:val="28"/>
          <w:szCs w:val="28"/>
        </w:rPr>
        <w:t>万元，用于城乡社区环境卫生等相关支出，环卫服务工作保障等。完成预算的100%。</w:t>
      </w:r>
    </w:p>
    <w:p>
      <w:pPr>
        <w:pStyle w:val="5"/>
        <w:widowControl/>
        <w:shd w:val="clear" w:color="auto" w:fill="FFFFFF"/>
        <w:spacing w:beforeAutospacing="0" w:afterAutospacing="0" w:line="33" w:lineRule="atLeast"/>
        <w:ind w:firstLine="640" w:firstLineChars="200"/>
        <w:jc w:val="both"/>
        <w:rPr>
          <w:rFonts w:eastAsia="方正仿宋简体"/>
          <w:kern w:val="2"/>
          <w:sz w:val="28"/>
          <w:szCs w:val="28"/>
        </w:rPr>
      </w:pPr>
      <w:r>
        <w:rPr>
          <w:rFonts w:eastAsia="方正仿宋简体"/>
          <w:b/>
          <w:sz w:val="32"/>
          <w:szCs w:val="32"/>
        </w:rPr>
        <w:t>3.</w:t>
      </w:r>
      <w:r>
        <w:rPr>
          <w:rFonts w:hint="eastAsia" w:eastAsia="方正仿宋简体"/>
          <w:sz w:val="32"/>
          <w:szCs w:val="32"/>
        </w:rPr>
        <w:t>实施情况。</w:t>
      </w:r>
      <w:r>
        <w:rPr>
          <w:rFonts w:hint="eastAsia" w:eastAsia="方正仿宋简体"/>
          <w:sz w:val="32"/>
          <w:szCs w:val="32"/>
          <w:lang w:val="en-US" w:eastAsia="zh-CN"/>
        </w:rPr>
        <w:t>项目实施以来，</w:t>
      </w:r>
      <w:r>
        <w:rPr>
          <w:rFonts w:hint="eastAsia" w:eastAsia="方正仿宋简体"/>
          <w:sz w:val="32"/>
          <w:szCs w:val="32"/>
        </w:rPr>
        <w:t>坚持问题导向深入开展城乡环境综合治理攻坚行动，着力解决城乡“五乱”、“五清一提升"、“两线治理方面存在的薄弱环节和突出问题。全面深化城乡环境综合治理体制机制建设，形成城乡环境规范化、常态化的管理，促进城乡环境管理水平的稳步提升。</w:t>
      </w:r>
    </w:p>
    <w:p>
      <w:pPr>
        <w:pStyle w:val="5"/>
        <w:widowControl/>
        <w:shd w:val="clear" w:color="auto" w:fill="FFFFFF"/>
        <w:spacing w:beforeAutospacing="0" w:afterAutospacing="0" w:line="33" w:lineRule="atLeast"/>
        <w:ind w:firstLine="640" w:firstLineChars="200"/>
        <w:jc w:val="both"/>
        <w:rPr>
          <w:rFonts w:hint="default" w:eastAsia="方正仿宋简体"/>
          <w:sz w:val="32"/>
          <w:szCs w:val="32"/>
          <w:lang w:val="en-US" w:eastAsia="zh-CN"/>
        </w:rPr>
      </w:pPr>
      <w:r>
        <w:rPr>
          <w:rFonts w:hint="eastAsia" w:eastAsia="方正仿宋简体"/>
          <w:sz w:val="32"/>
          <w:szCs w:val="32"/>
          <w:lang w:val="en-US" w:eastAsia="zh-CN"/>
        </w:rPr>
        <w:t>4.组织及管理。参照国家卫生城市和四川省城乡环境卫生综合治理的相关标准，结合现有考评方式和实际情况，制定合理、严格的考评制度，加强环卫作业质量管理，每月对所辖区域的服务月进行考核，依据考核标准进行评分，考核分数纳入综合计算。</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pStyle w:val="5"/>
        <w:widowControl/>
        <w:shd w:val="clear" w:color="auto" w:fill="FFFFFF"/>
        <w:spacing w:beforeAutospacing="0" w:afterAutospacing="0" w:line="315" w:lineRule="atLeast"/>
        <w:ind w:firstLine="560" w:firstLineChars="200"/>
        <w:rPr>
          <w:rFonts w:eastAsia="方正仿宋简体"/>
          <w:kern w:val="2"/>
          <w:sz w:val="28"/>
          <w:szCs w:val="28"/>
        </w:rPr>
      </w:pPr>
      <w:r>
        <w:rPr>
          <w:rFonts w:hint="eastAsia" w:eastAsia="方正仿宋简体"/>
          <w:kern w:val="2"/>
          <w:sz w:val="28"/>
          <w:szCs w:val="28"/>
        </w:rPr>
        <w:t>202</w:t>
      </w:r>
      <w:r>
        <w:rPr>
          <w:rFonts w:hint="eastAsia" w:eastAsia="方正仿宋简体"/>
          <w:kern w:val="2"/>
          <w:sz w:val="28"/>
          <w:szCs w:val="28"/>
          <w:lang w:val="en-US" w:eastAsia="zh-CN"/>
        </w:rPr>
        <w:t>2</w:t>
      </w:r>
      <w:r>
        <w:rPr>
          <w:rFonts w:hint="eastAsia" w:eastAsia="方正仿宋简体"/>
          <w:kern w:val="2"/>
          <w:sz w:val="28"/>
          <w:szCs w:val="28"/>
        </w:rPr>
        <w:t>年度城乡环境综合治理专项资金项目总体目标：保障</w:t>
      </w:r>
      <w:r>
        <w:rPr>
          <w:rFonts w:hint="eastAsia" w:eastAsia="方正仿宋简体"/>
          <w:sz w:val="28"/>
          <w:szCs w:val="28"/>
        </w:rPr>
        <w:t>202</w:t>
      </w:r>
      <w:r>
        <w:rPr>
          <w:rFonts w:hint="eastAsia" w:eastAsia="方正仿宋简体"/>
          <w:sz w:val="28"/>
          <w:szCs w:val="28"/>
          <w:lang w:val="en-US" w:eastAsia="zh-CN"/>
        </w:rPr>
        <w:t>2</w:t>
      </w:r>
      <w:r>
        <w:rPr>
          <w:rFonts w:hint="eastAsia" w:eastAsia="方正仿宋简体"/>
          <w:sz w:val="28"/>
          <w:szCs w:val="28"/>
        </w:rPr>
        <w:t>年环卫服务工作正常开展</w:t>
      </w:r>
      <w:r>
        <w:rPr>
          <w:rFonts w:hint="eastAsia" w:eastAsia="方正仿宋简体"/>
          <w:kern w:val="2"/>
          <w:sz w:val="28"/>
          <w:szCs w:val="28"/>
        </w:rPr>
        <w:t>。具体绩效目标：1.产出指标：服务村社区数量、资金使规范性100%，经费投入保障。2.效益指标：城乡环境质量提升。100%提升。3.满意度指标：群众满意率&gt;=90%。</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560" w:firstLineChars="200"/>
        <w:rPr>
          <w:rFonts w:ascii="仿宋" w:hAnsi="仿宋" w:eastAsia="仿宋" w:cs="仿宋"/>
          <w:color w:val="000000"/>
          <w:sz w:val="32"/>
          <w:szCs w:val="32"/>
          <w:shd w:val="clear" w:color="auto" w:fill="FFFFFF"/>
        </w:rPr>
      </w:pPr>
      <w:r>
        <w:rPr>
          <w:rFonts w:hint="eastAsia" w:eastAsia="方正仿宋简体"/>
          <w:sz w:val="28"/>
          <w:szCs w:val="28"/>
        </w:rPr>
        <w:t>街道党工委、办事处高度重视绩效自评工作，成立了绩效自评领导小组，组长由办事处主任担任。自评工作由绩效自评工作小组完成，完成对项目执行中对项目绩效目标实现程度和预算执行进度自评。具体就是对项目完成数量、质量、时效、成本等情况，对照项目计划完成目标，对截止评价时点的任务量完成、质量标准、进度计划、成本控制目标的实现程度进行评价，并进行分析说明。</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560" w:firstLineChars="200"/>
        <w:rPr>
          <w:rFonts w:eastAsia="方正仿宋简体"/>
          <w:sz w:val="28"/>
          <w:szCs w:val="28"/>
        </w:rPr>
      </w:pPr>
      <w:r>
        <w:rPr>
          <w:rFonts w:hint="eastAsia" w:eastAsia="方正仿宋简体"/>
          <w:sz w:val="28"/>
          <w:szCs w:val="28"/>
        </w:rPr>
        <w:t>全面完成该项目支出绩效内部自评工作，严格按照投入、过程、产出、效果指标评分，自评等级为优。</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pStyle w:val="5"/>
        <w:widowControl/>
        <w:shd w:val="clear" w:color="auto" w:fill="FFFFFF"/>
        <w:spacing w:before="420" w:beforeAutospacing="0" w:after="105" w:afterAutospacing="0" w:line="30" w:lineRule="atLeast"/>
        <w:ind w:firstLine="420"/>
        <w:jc w:val="both"/>
        <w:rPr>
          <w:rFonts w:ascii="仿宋" w:hAnsi="仿宋" w:eastAsia="仿宋" w:cs="仿宋"/>
          <w:color w:val="000000"/>
          <w:kern w:val="2"/>
          <w:sz w:val="32"/>
          <w:szCs w:val="32"/>
          <w:shd w:val="clear" w:color="auto" w:fill="FFFFFF"/>
        </w:rPr>
      </w:pPr>
      <w:r>
        <w:rPr>
          <w:rFonts w:hint="eastAsia" w:eastAsia="方正仿宋简体"/>
          <w:kern w:val="2"/>
          <w:sz w:val="28"/>
          <w:szCs w:val="28"/>
        </w:rPr>
        <w:t>一是项目决策情况。项目设立是经过严格评估论证，与部门职责相符，属于公共财政支持范围，符合地方事权支出责任划分原则，与相关部门同类项目或部门内部相关项目不重复。项目规划符合县委、县政府重大决策部署，与项目年度目标一致。项目指导意见、管理办法、申报指南、实施细则等管理制度完善，不存在脱离实际、缺陷、漏洞导致执行偏离预期。二是项目管理情况。我单位目标任务的制定与国家政策法规、部门职责、部门中长期规划相符。目标任务制定明确，全面反映部门目标任务完成和预期效益情。目标任务合理可行，财政资源配置合理。三是项目产出情况。通过项目实施，保证了普查工作顺利完成。四是项目绩效情况。质量指标、社会效益指标、满意度指标，绩效目标完成率100%。</w:t>
      </w:r>
    </w:p>
    <w:p>
      <w:pPr>
        <w:numPr>
          <w:ilvl w:val="0"/>
          <w:numId w:val="1"/>
        </w:numPr>
        <w:spacing w:line="580" w:lineRule="exact"/>
        <w:ind w:firstLine="640" w:firstLineChars="200"/>
        <w:rPr>
          <w:rFonts w:eastAsia="方正黑体简体"/>
          <w:sz w:val="32"/>
          <w:szCs w:val="32"/>
        </w:rPr>
      </w:pPr>
      <w:r>
        <w:rPr>
          <w:rFonts w:hint="eastAsia" w:eastAsia="方正黑体简体"/>
          <w:sz w:val="32"/>
          <w:szCs w:val="32"/>
        </w:rPr>
        <w:t>主要经验及做法、存在的问题和建议</w:t>
      </w:r>
    </w:p>
    <w:p>
      <w:pPr>
        <w:spacing w:line="580" w:lineRule="exact"/>
        <w:ind w:firstLine="560" w:firstLineChars="200"/>
        <w:rPr>
          <w:rFonts w:eastAsia="方正仿宋简体"/>
          <w:sz w:val="28"/>
          <w:szCs w:val="28"/>
        </w:rPr>
      </w:pPr>
      <w:r>
        <w:rPr>
          <w:rFonts w:hint="eastAsia" w:eastAsia="方正仿宋简体"/>
          <w:sz w:val="28"/>
          <w:szCs w:val="28"/>
        </w:rPr>
        <w:t>主要问题资金拨付不及时，工作推进效率不高。希望财政进一步提高资金保障率到位率，保障工作正常开展。</w:t>
      </w:r>
    </w:p>
    <w:p>
      <w:pPr>
        <w:spacing w:line="580" w:lineRule="exact"/>
        <w:ind w:firstLine="560" w:firstLineChars="200"/>
        <w:rPr>
          <w:rFonts w:eastAsia="方正仿宋简体"/>
          <w:sz w:val="28"/>
          <w:szCs w:val="28"/>
        </w:rPr>
      </w:pPr>
    </w:p>
    <w:p>
      <w:pPr>
        <w:spacing w:line="580" w:lineRule="exact"/>
        <w:ind w:firstLine="560" w:firstLineChars="200"/>
        <w:rPr>
          <w:rFonts w:eastAsia="方正仿宋简体"/>
          <w:sz w:val="28"/>
          <w:szCs w:val="28"/>
        </w:rPr>
      </w:pPr>
      <w:r>
        <w:rPr>
          <w:rFonts w:hint="eastAsia" w:eastAsia="方正仿宋简体"/>
          <w:sz w:val="28"/>
          <w:szCs w:val="28"/>
        </w:rPr>
        <w:t>附件：1.202</w:t>
      </w:r>
      <w:r>
        <w:rPr>
          <w:rFonts w:hint="eastAsia" w:eastAsia="方正仿宋简体"/>
          <w:sz w:val="28"/>
          <w:szCs w:val="28"/>
          <w:lang w:val="en-US" w:eastAsia="zh-CN"/>
        </w:rPr>
        <w:t>2</w:t>
      </w:r>
      <w:r>
        <w:rPr>
          <w:rFonts w:hint="eastAsia" w:eastAsia="方正仿宋简体"/>
          <w:sz w:val="28"/>
          <w:szCs w:val="28"/>
        </w:rPr>
        <w:t>年度乐至县项目支出绩效自评计分表</w:t>
      </w:r>
    </w:p>
    <w:p>
      <w:pPr>
        <w:spacing w:line="580" w:lineRule="exact"/>
        <w:ind w:firstLine="1400" w:firstLineChars="500"/>
        <w:rPr>
          <w:rFonts w:eastAsia="方正仿宋简体"/>
          <w:sz w:val="28"/>
          <w:szCs w:val="28"/>
        </w:rPr>
      </w:pPr>
      <w:r>
        <w:rPr>
          <w:rFonts w:hint="eastAsia" w:eastAsia="方正仿宋简体"/>
          <w:sz w:val="28"/>
          <w:szCs w:val="28"/>
        </w:rPr>
        <w:t>2.202</w:t>
      </w:r>
      <w:r>
        <w:rPr>
          <w:rFonts w:hint="eastAsia" w:eastAsia="方正仿宋简体"/>
          <w:sz w:val="28"/>
          <w:szCs w:val="28"/>
          <w:lang w:val="en-US" w:eastAsia="zh-CN"/>
        </w:rPr>
        <w:t>2</w:t>
      </w:r>
      <w:r>
        <w:rPr>
          <w:rFonts w:hint="eastAsia" w:eastAsia="方正仿宋简体"/>
          <w:sz w:val="28"/>
          <w:szCs w:val="28"/>
        </w:rPr>
        <w:t>年度乐至县项目支出绩效目标完成情况表</w:t>
      </w:r>
    </w:p>
    <w:p>
      <w:pPr>
        <w:spacing w:line="580" w:lineRule="exact"/>
        <w:ind w:firstLine="560" w:firstLineChars="200"/>
        <w:rPr>
          <w:rFonts w:eastAsia="方正仿宋简体"/>
          <w:sz w:val="28"/>
          <w:szCs w:val="28"/>
        </w:rPr>
        <w:sectPr>
          <w:headerReference r:id="rId5" w:type="first"/>
          <w:footerReference r:id="rId8" w:type="first"/>
          <w:headerReference r:id="rId3" w:type="default"/>
          <w:footerReference r:id="rId6" w:type="default"/>
          <w:headerReference r:id="rId4" w:type="even"/>
          <w:footerReference r:id="rId7" w:type="even"/>
          <w:pgSz w:w="11907" w:h="16840"/>
          <w:pgMar w:top="2098" w:right="1474" w:bottom="1928" w:left="1588" w:header="851" w:footer="992" w:gutter="0"/>
          <w:cols w:space="425" w:num="1"/>
          <w:docGrid w:type="lines" w:linePitch="312" w:charSpace="0"/>
        </w:sect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sz w:val="32"/>
          <w:szCs w:val="32"/>
        </w:rPr>
        <w:t>202</w:t>
      </w:r>
      <w:r>
        <w:rPr>
          <w:rFonts w:hint="eastAsia" w:eastAsia="方正楷体简体"/>
          <w:b/>
          <w:sz w:val="32"/>
          <w:szCs w:val="32"/>
          <w:lang w:val="en-US" w:eastAsia="zh-CN"/>
        </w:rPr>
        <w:t>2</w:t>
      </w:r>
      <w:r>
        <w:rPr>
          <w:rFonts w:hint="eastAsia" w:eastAsia="方正楷体简体"/>
          <w:b/>
          <w:sz w:val="32"/>
          <w:szCs w:val="32"/>
        </w:rPr>
        <w:t>年度城乡环境综合治理专项资金</w:t>
      </w:r>
      <w:r>
        <w:rPr>
          <w:rFonts w:hint="eastAsia" w:eastAsia="方正楷体简体"/>
          <w:b/>
          <w:bCs/>
          <w:kern w:val="0"/>
          <w:sz w:val="32"/>
          <w:szCs w:val="32"/>
        </w:rPr>
        <w:t>）</w:t>
      </w:r>
    </w:p>
    <w:p>
      <w:pPr>
        <w:spacing w:line="620" w:lineRule="exact"/>
        <w:rPr>
          <w:sz w:val="24"/>
        </w:rPr>
      </w:pPr>
      <w:r>
        <w:rPr>
          <w:rFonts w:hint="eastAsia"/>
          <w:bCs/>
          <w:kern w:val="0"/>
          <w:sz w:val="24"/>
        </w:rPr>
        <w:t>预算单位名称：乐至县南塔街道</w:t>
      </w:r>
      <w:r>
        <w:rPr>
          <w:bCs/>
          <w:kern w:val="0"/>
          <w:sz w:val="24"/>
        </w:rPr>
        <w:t xml:space="preserve">      </w:t>
      </w:r>
      <w:r>
        <w:rPr>
          <w:rFonts w:hint="eastAsia"/>
          <w:bCs/>
          <w:kern w:val="0"/>
          <w:sz w:val="24"/>
        </w:rPr>
        <w:t>预算单位编码：301001</w:t>
      </w:r>
      <w:r>
        <w:rPr>
          <w:bCs/>
          <w:kern w:val="0"/>
          <w:sz w:val="24"/>
        </w:rPr>
        <w:t xml:space="preserve">  </w:t>
      </w:r>
      <w:r>
        <w:rPr>
          <w:rFonts w:hint="eastAsia"/>
          <w:bCs/>
          <w:kern w:val="0"/>
          <w:sz w:val="24"/>
        </w:rPr>
        <w:t>自评等级：优</w:t>
      </w:r>
    </w:p>
    <w:tbl>
      <w:tblPr>
        <w:tblStyle w:val="6"/>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71"/>
        <w:gridCol w:w="562"/>
        <w:gridCol w:w="868"/>
        <w:gridCol w:w="1423"/>
        <w:gridCol w:w="3709"/>
        <w:gridCol w:w="795"/>
        <w:gridCol w:w="118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13"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08"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76"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781"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2032"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436"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650"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13"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08" w:type="pct"/>
            <w:vMerge w:val="restart"/>
            <w:shd w:val="clear" w:color="auto" w:fill="FFFFFF"/>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76" w:type="pct"/>
            <w:shd w:val="clear" w:color="auto" w:fill="FFFFFF"/>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781" w:type="pct"/>
            <w:shd w:val="clear" w:color="auto" w:fill="FFFFFF"/>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2032" w:type="pct"/>
            <w:shd w:val="clear" w:color="auto" w:fill="FFFFFF"/>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436" w:type="pct"/>
            <w:noWrap/>
            <w:vAlign w:val="center"/>
          </w:tcPr>
          <w:p>
            <w:pPr>
              <w:widowControl/>
              <w:spacing w:line="240" w:lineRule="exact"/>
              <w:jc w:val="left"/>
              <w:rPr>
                <w:kern w:val="0"/>
                <w:szCs w:val="21"/>
              </w:rPr>
            </w:pPr>
            <w:r>
              <w:rPr>
                <w:rFonts w:hint="eastAsia"/>
                <w:kern w:val="0"/>
                <w:szCs w:val="21"/>
              </w:rPr>
              <w:t>　5</w:t>
            </w:r>
          </w:p>
        </w:tc>
        <w:tc>
          <w:tcPr>
            <w:tcW w:w="650" w:type="pct"/>
            <w:noWrap/>
            <w:vAlign w:val="center"/>
          </w:tcPr>
          <w:p>
            <w:pPr>
              <w:widowControl/>
              <w:spacing w:line="240" w:lineRule="exact"/>
              <w:jc w:val="left"/>
              <w:rPr>
                <w:kern w:val="0"/>
                <w:szCs w:val="21"/>
              </w:rPr>
            </w:pPr>
            <w:r>
              <w:rPr>
                <w:rFonts w:hint="eastAsia"/>
                <w:kern w:val="0"/>
                <w:szCs w:val="21"/>
              </w:rPr>
              <w:t>按照国普方案等要求执行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781" w:type="pct"/>
            <w:shd w:val="clear" w:color="auto" w:fill="FFFFFF"/>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2032" w:type="pct"/>
            <w:shd w:val="clear" w:color="auto" w:fill="FFFFFF"/>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436" w:type="pct"/>
            <w:noWrap/>
            <w:vAlign w:val="center"/>
          </w:tcPr>
          <w:p>
            <w:pPr>
              <w:widowControl/>
              <w:spacing w:line="240" w:lineRule="exact"/>
              <w:jc w:val="left"/>
              <w:rPr>
                <w:kern w:val="0"/>
                <w:szCs w:val="21"/>
              </w:rPr>
            </w:pPr>
            <w:r>
              <w:rPr>
                <w:rFonts w:hint="eastAsia"/>
                <w:kern w:val="0"/>
                <w:szCs w:val="21"/>
              </w:rPr>
              <w:t>　4</w:t>
            </w:r>
          </w:p>
        </w:tc>
        <w:tc>
          <w:tcPr>
            <w:tcW w:w="650"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781" w:type="pct"/>
            <w:shd w:val="clear" w:color="auto" w:fill="FFFFFF"/>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2032" w:type="pct"/>
            <w:shd w:val="clear" w:color="auto" w:fill="FFFFFF"/>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436" w:type="pct"/>
            <w:noWrap/>
            <w:vAlign w:val="center"/>
          </w:tcPr>
          <w:p>
            <w:pPr>
              <w:widowControl/>
              <w:spacing w:line="240" w:lineRule="exact"/>
              <w:jc w:val="left"/>
              <w:rPr>
                <w:kern w:val="0"/>
                <w:szCs w:val="21"/>
              </w:rPr>
            </w:pPr>
            <w:r>
              <w:rPr>
                <w:rFonts w:hint="eastAsia"/>
                <w:kern w:val="0"/>
                <w:szCs w:val="21"/>
              </w:rPr>
              <w:t>　6</w:t>
            </w:r>
          </w:p>
        </w:tc>
        <w:tc>
          <w:tcPr>
            <w:tcW w:w="650" w:type="pct"/>
            <w:noWrap/>
            <w:vAlign w:val="center"/>
          </w:tcPr>
          <w:p>
            <w:pPr>
              <w:widowControl/>
              <w:spacing w:line="240" w:lineRule="exac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restart"/>
            <w:shd w:val="clear" w:color="auto" w:fill="FFFFFF"/>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76" w:type="pct"/>
            <w:shd w:val="clear" w:color="auto" w:fill="FFFFFF"/>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781" w:type="pct"/>
            <w:shd w:val="clear" w:color="auto" w:fill="FFFFFF"/>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2032" w:type="pct"/>
            <w:shd w:val="clear" w:color="auto" w:fill="FFFFFF"/>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436" w:type="pct"/>
            <w:noWrap/>
            <w:vAlign w:val="center"/>
          </w:tcPr>
          <w:p>
            <w:pPr>
              <w:widowControl/>
              <w:spacing w:line="240" w:lineRule="exact"/>
              <w:jc w:val="left"/>
              <w:rPr>
                <w:kern w:val="0"/>
                <w:szCs w:val="21"/>
              </w:rPr>
            </w:pPr>
            <w:r>
              <w:rPr>
                <w:rFonts w:hint="eastAsia"/>
                <w:kern w:val="0"/>
                <w:szCs w:val="21"/>
              </w:rPr>
              <w:t>5</w:t>
            </w:r>
          </w:p>
        </w:tc>
        <w:tc>
          <w:tcPr>
            <w:tcW w:w="650"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781" w:type="pct"/>
            <w:shd w:val="clear" w:color="auto" w:fill="FFFFFF"/>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2032" w:type="pct"/>
            <w:shd w:val="clear" w:color="auto" w:fill="FFFFFF"/>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436" w:type="pct"/>
            <w:noWrap/>
            <w:vAlign w:val="center"/>
          </w:tcPr>
          <w:p>
            <w:pPr>
              <w:widowControl/>
              <w:spacing w:line="240" w:lineRule="exact"/>
              <w:jc w:val="left"/>
              <w:rPr>
                <w:kern w:val="0"/>
                <w:szCs w:val="21"/>
              </w:rPr>
            </w:pPr>
            <w:r>
              <w:rPr>
                <w:rFonts w:hint="eastAsia"/>
                <w:kern w:val="0"/>
                <w:szCs w:val="21"/>
              </w:rPr>
              <w:t>　5</w:t>
            </w:r>
          </w:p>
        </w:tc>
        <w:tc>
          <w:tcPr>
            <w:tcW w:w="650"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13"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08" w:type="pct"/>
            <w:vMerge w:val="restart"/>
            <w:shd w:val="clear" w:color="auto" w:fill="FFFFFF"/>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76" w:type="pct"/>
            <w:shd w:val="clear" w:color="auto" w:fill="FFFFFF"/>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781" w:type="pct"/>
            <w:shd w:val="clear" w:color="auto" w:fill="FFFFFF"/>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2032" w:type="pct"/>
            <w:shd w:val="clear" w:color="auto" w:fill="FFFFFF"/>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436" w:type="pct"/>
            <w:noWrap/>
            <w:vAlign w:val="center"/>
          </w:tcPr>
          <w:p>
            <w:pPr>
              <w:widowControl/>
              <w:spacing w:line="260" w:lineRule="exact"/>
              <w:jc w:val="left"/>
              <w:rPr>
                <w:kern w:val="0"/>
                <w:szCs w:val="21"/>
              </w:rPr>
            </w:pPr>
            <w:r>
              <w:rPr>
                <w:rFonts w:hint="eastAsia"/>
                <w:kern w:val="0"/>
                <w:szCs w:val="21"/>
              </w:rPr>
              <w:t>　4</w:t>
            </w:r>
          </w:p>
        </w:tc>
        <w:tc>
          <w:tcPr>
            <w:tcW w:w="650"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13" w:type="pct"/>
            <w:vMerge w:val="continue"/>
            <w:shd w:val="clear" w:color="auto" w:fill="auto"/>
            <w:vAlign w:val="center"/>
          </w:tcPr>
          <w:p>
            <w:pPr>
              <w:widowControl/>
              <w:spacing w:line="260" w:lineRule="exact"/>
              <w:jc w:val="left"/>
              <w:rPr>
                <w:kern w:val="0"/>
                <w:szCs w:val="21"/>
              </w:rPr>
            </w:pPr>
          </w:p>
        </w:tc>
        <w:tc>
          <w:tcPr>
            <w:tcW w:w="308" w:type="pct"/>
            <w:vMerge w:val="continue"/>
            <w:shd w:val="clear" w:color="auto" w:fill="auto"/>
            <w:vAlign w:val="center"/>
          </w:tcPr>
          <w:p>
            <w:pPr>
              <w:widowControl/>
              <w:spacing w:line="260" w:lineRule="exact"/>
              <w:jc w:val="left"/>
              <w:rPr>
                <w:kern w:val="0"/>
                <w:szCs w:val="21"/>
              </w:rPr>
            </w:pPr>
          </w:p>
        </w:tc>
        <w:tc>
          <w:tcPr>
            <w:tcW w:w="476" w:type="pct"/>
            <w:shd w:val="clear" w:color="auto" w:fill="FFFFFF"/>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781" w:type="pct"/>
            <w:shd w:val="clear" w:color="auto" w:fill="FFFFFF"/>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2032" w:type="pct"/>
            <w:shd w:val="clear" w:color="auto" w:fill="FFFFFF"/>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436" w:type="pct"/>
            <w:noWrap/>
            <w:vAlign w:val="center"/>
          </w:tcPr>
          <w:p>
            <w:pPr>
              <w:widowControl/>
              <w:spacing w:line="260" w:lineRule="exact"/>
              <w:jc w:val="left"/>
              <w:rPr>
                <w:kern w:val="0"/>
                <w:szCs w:val="21"/>
              </w:rPr>
            </w:pPr>
            <w:r>
              <w:rPr>
                <w:rFonts w:hint="eastAsia"/>
                <w:kern w:val="0"/>
                <w:szCs w:val="21"/>
              </w:rPr>
              <w:t>　6</w:t>
            </w:r>
          </w:p>
        </w:tc>
        <w:tc>
          <w:tcPr>
            <w:tcW w:w="650"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13" w:type="pct"/>
            <w:vMerge w:val="continue"/>
            <w:shd w:val="clear" w:color="auto" w:fill="auto"/>
            <w:vAlign w:val="center"/>
          </w:tcPr>
          <w:p>
            <w:pPr>
              <w:widowControl/>
              <w:spacing w:line="260" w:lineRule="exact"/>
              <w:jc w:val="left"/>
              <w:rPr>
                <w:kern w:val="0"/>
                <w:szCs w:val="21"/>
              </w:rPr>
            </w:pPr>
          </w:p>
        </w:tc>
        <w:tc>
          <w:tcPr>
            <w:tcW w:w="308" w:type="pct"/>
            <w:vMerge w:val="continue"/>
            <w:shd w:val="clear" w:color="auto" w:fill="auto"/>
            <w:vAlign w:val="center"/>
          </w:tcPr>
          <w:p>
            <w:pPr>
              <w:widowControl/>
              <w:spacing w:line="260" w:lineRule="exact"/>
              <w:jc w:val="left"/>
              <w:rPr>
                <w:kern w:val="0"/>
                <w:szCs w:val="21"/>
              </w:rPr>
            </w:pPr>
          </w:p>
        </w:tc>
        <w:tc>
          <w:tcPr>
            <w:tcW w:w="476" w:type="pct"/>
            <w:shd w:val="clear" w:color="auto" w:fill="FFFFFF"/>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781" w:type="pct"/>
            <w:shd w:val="clear" w:color="auto" w:fill="FFFFFF"/>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2032" w:type="pct"/>
            <w:shd w:val="clear" w:color="auto" w:fill="FFFFFF"/>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436" w:type="pct"/>
            <w:noWrap/>
            <w:vAlign w:val="center"/>
          </w:tcPr>
          <w:p>
            <w:pPr>
              <w:widowControl/>
              <w:spacing w:line="260" w:lineRule="exact"/>
              <w:jc w:val="left"/>
              <w:rPr>
                <w:kern w:val="0"/>
                <w:szCs w:val="21"/>
              </w:rPr>
            </w:pPr>
            <w:r>
              <w:rPr>
                <w:rFonts w:hint="eastAsia"/>
                <w:kern w:val="0"/>
                <w:szCs w:val="21"/>
              </w:rPr>
              <w:t>　3</w:t>
            </w:r>
          </w:p>
        </w:tc>
        <w:tc>
          <w:tcPr>
            <w:tcW w:w="650"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13" w:type="pct"/>
            <w:vMerge w:val="continue"/>
            <w:shd w:val="clear" w:color="auto" w:fill="auto"/>
            <w:vAlign w:val="center"/>
          </w:tcPr>
          <w:p>
            <w:pPr>
              <w:widowControl/>
              <w:spacing w:line="260" w:lineRule="exact"/>
              <w:jc w:val="left"/>
              <w:rPr>
                <w:kern w:val="0"/>
                <w:szCs w:val="21"/>
              </w:rPr>
            </w:pPr>
          </w:p>
        </w:tc>
        <w:tc>
          <w:tcPr>
            <w:tcW w:w="308" w:type="pct"/>
            <w:vMerge w:val="restart"/>
            <w:shd w:val="clear" w:color="auto" w:fill="FFFFFF"/>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76" w:type="pct"/>
            <w:shd w:val="clear" w:color="auto" w:fill="FFFFFF"/>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781" w:type="pct"/>
            <w:shd w:val="clear" w:color="auto" w:fill="FFFFFF"/>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2032" w:type="pct"/>
            <w:shd w:val="clear" w:color="auto" w:fill="FFFFFF"/>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436" w:type="pct"/>
            <w:noWrap/>
            <w:vAlign w:val="center"/>
          </w:tcPr>
          <w:p>
            <w:pPr>
              <w:widowControl/>
              <w:spacing w:line="260" w:lineRule="exact"/>
              <w:jc w:val="left"/>
              <w:rPr>
                <w:kern w:val="0"/>
                <w:szCs w:val="21"/>
              </w:rPr>
            </w:pPr>
            <w:r>
              <w:rPr>
                <w:rFonts w:hint="eastAsia"/>
                <w:kern w:val="0"/>
                <w:szCs w:val="21"/>
              </w:rPr>
              <w:t>　3</w:t>
            </w:r>
          </w:p>
        </w:tc>
        <w:tc>
          <w:tcPr>
            <w:tcW w:w="650"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13" w:type="pct"/>
            <w:vMerge w:val="continue"/>
            <w:shd w:val="clear" w:color="auto" w:fill="auto"/>
            <w:vAlign w:val="center"/>
          </w:tcPr>
          <w:p>
            <w:pPr>
              <w:widowControl/>
              <w:spacing w:line="260" w:lineRule="exact"/>
              <w:jc w:val="left"/>
              <w:rPr>
                <w:kern w:val="0"/>
                <w:szCs w:val="21"/>
              </w:rPr>
            </w:pPr>
          </w:p>
        </w:tc>
        <w:tc>
          <w:tcPr>
            <w:tcW w:w="308" w:type="pct"/>
            <w:vMerge w:val="continue"/>
            <w:shd w:val="clear" w:color="auto" w:fill="auto"/>
            <w:vAlign w:val="center"/>
          </w:tcPr>
          <w:p>
            <w:pPr>
              <w:widowControl/>
              <w:spacing w:line="260" w:lineRule="exact"/>
              <w:jc w:val="left"/>
              <w:rPr>
                <w:kern w:val="0"/>
                <w:szCs w:val="21"/>
              </w:rPr>
            </w:pPr>
          </w:p>
        </w:tc>
        <w:tc>
          <w:tcPr>
            <w:tcW w:w="476" w:type="pct"/>
            <w:shd w:val="clear" w:color="auto" w:fill="FFFFFF"/>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781" w:type="pct"/>
            <w:shd w:val="clear" w:color="auto" w:fill="FFFFFF"/>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2032" w:type="pct"/>
            <w:shd w:val="clear" w:color="auto" w:fill="FFFFFF"/>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436" w:type="pct"/>
            <w:noWrap/>
            <w:vAlign w:val="center"/>
          </w:tcPr>
          <w:p>
            <w:pPr>
              <w:widowControl/>
              <w:spacing w:line="260" w:lineRule="exact"/>
              <w:jc w:val="left"/>
              <w:rPr>
                <w:kern w:val="0"/>
                <w:szCs w:val="21"/>
              </w:rPr>
            </w:pPr>
            <w:r>
              <w:rPr>
                <w:rFonts w:hint="eastAsia"/>
                <w:kern w:val="0"/>
                <w:szCs w:val="21"/>
              </w:rPr>
              <w:t>　7</w:t>
            </w:r>
          </w:p>
        </w:tc>
        <w:tc>
          <w:tcPr>
            <w:tcW w:w="650"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13" w:type="pct"/>
            <w:vMerge w:val="continue"/>
            <w:shd w:val="clear" w:color="auto" w:fill="auto"/>
            <w:vAlign w:val="center"/>
          </w:tcPr>
          <w:p>
            <w:pPr>
              <w:widowControl/>
              <w:spacing w:line="260" w:lineRule="exact"/>
              <w:jc w:val="left"/>
              <w:rPr>
                <w:kern w:val="0"/>
                <w:szCs w:val="21"/>
              </w:rPr>
            </w:pPr>
          </w:p>
        </w:tc>
        <w:tc>
          <w:tcPr>
            <w:tcW w:w="308" w:type="pct"/>
            <w:vMerge w:val="continue"/>
            <w:shd w:val="clear" w:color="auto" w:fill="auto"/>
            <w:vAlign w:val="center"/>
          </w:tcPr>
          <w:p>
            <w:pPr>
              <w:widowControl/>
              <w:spacing w:line="260" w:lineRule="exact"/>
              <w:jc w:val="left"/>
              <w:rPr>
                <w:kern w:val="0"/>
                <w:szCs w:val="21"/>
              </w:rPr>
            </w:pPr>
          </w:p>
        </w:tc>
        <w:tc>
          <w:tcPr>
            <w:tcW w:w="476" w:type="pct"/>
            <w:shd w:val="clear" w:color="auto" w:fill="FFFFFF"/>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781" w:type="pct"/>
            <w:shd w:val="clear" w:color="auto" w:fill="FFFFFF"/>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2032" w:type="pct"/>
            <w:shd w:val="clear" w:color="auto" w:fill="FFFFFF"/>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436" w:type="pct"/>
            <w:noWrap/>
            <w:vAlign w:val="center"/>
          </w:tcPr>
          <w:p>
            <w:pPr>
              <w:widowControl/>
              <w:spacing w:line="260" w:lineRule="exact"/>
              <w:jc w:val="left"/>
              <w:rPr>
                <w:kern w:val="0"/>
                <w:szCs w:val="21"/>
              </w:rPr>
            </w:pPr>
            <w:r>
              <w:rPr>
                <w:rFonts w:hint="eastAsia"/>
                <w:kern w:val="0"/>
                <w:szCs w:val="21"/>
              </w:rPr>
              <w:t>　2</w:t>
            </w:r>
          </w:p>
        </w:tc>
        <w:tc>
          <w:tcPr>
            <w:tcW w:w="650"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13"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08" w:type="pct"/>
            <w:vMerge w:val="restart"/>
            <w:shd w:val="clear" w:color="auto" w:fill="FFFFFF"/>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76" w:type="pct"/>
            <w:shd w:val="clear" w:color="auto" w:fill="FFFFFF"/>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781" w:type="pct"/>
            <w:shd w:val="clear" w:color="auto" w:fill="FFFFFF"/>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2032" w:type="pct"/>
            <w:shd w:val="clear" w:color="auto" w:fill="FFFFFF"/>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436" w:type="pct"/>
            <w:noWrap/>
            <w:vAlign w:val="center"/>
          </w:tcPr>
          <w:p>
            <w:pPr>
              <w:widowControl/>
              <w:spacing w:line="240" w:lineRule="exact"/>
              <w:jc w:val="left"/>
              <w:rPr>
                <w:kern w:val="0"/>
                <w:szCs w:val="21"/>
              </w:rPr>
            </w:pPr>
            <w:r>
              <w:rPr>
                <w:rFonts w:hint="eastAsia"/>
                <w:kern w:val="0"/>
                <w:szCs w:val="21"/>
              </w:rPr>
              <w:t>　4</w:t>
            </w:r>
          </w:p>
        </w:tc>
        <w:tc>
          <w:tcPr>
            <w:tcW w:w="650"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781" w:type="pct"/>
            <w:shd w:val="clear" w:color="auto" w:fill="FFFFFF"/>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2032" w:type="pct"/>
            <w:shd w:val="clear" w:color="auto" w:fill="FFFFFF"/>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436" w:type="pct"/>
            <w:noWrap/>
            <w:vAlign w:val="center"/>
          </w:tcPr>
          <w:p>
            <w:pPr>
              <w:widowControl/>
              <w:spacing w:line="240" w:lineRule="exact"/>
              <w:jc w:val="left"/>
              <w:rPr>
                <w:kern w:val="0"/>
                <w:szCs w:val="21"/>
              </w:rPr>
            </w:pPr>
            <w:r>
              <w:rPr>
                <w:rFonts w:hint="eastAsia"/>
                <w:kern w:val="0"/>
                <w:szCs w:val="21"/>
              </w:rPr>
              <w:t>　6</w:t>
            </w:r>
          </w:p>
        </w:tc>
        <w:tc>
          <w:tcPr>
            <w:tcW w:w="650"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781" w:type="pct"/>
            <w:shd w:val="clear" w:color="auto" w:fill="FFFFFF"/>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2032" w:type="pct"/>
            <w:shd w:val="clear" w:color="auto" w:fill="FFFFFF"/>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436" w:type="pct"/>
            <w:noWrap/>
            <w:vAlign w:val="center"/>
          </w:tcPr>
          <w:p>
            <w:pPr>
              <w:widowControl/>
              <w:spacing w:line="240" w:lineRule="exact"/>
              <w:jc w:val="left"/>
              <w:rPr>
                <w:kern w:val="0"/>
                <w:szCs w:val="21"/>
              </w:rPr>
            </w:pPr>
            <w:r>
              <w:rPr>
                <w:rFonts w:hint="eastAsia"/>
                <w:kern w:val="0"/>
                <w:szCs w:val="21"/>
              </w:rPr>
              <w:t>　5</w:t>
            </w:r>
          </w:p>
        </w:tc>
        <w:tc>
          <w:tcPr>
            <w:tcW w:w="650"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781" w:type="pct"/>
            <w:shd w:val="clear" w:color="auto" w:fill="FFFFFF"/>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2032" w:type="pct"/>
            <w:shd w:val="clear" w:color="auto" w:fill="FFFFFF"/>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436" w:type="pct"/>
            <w:noWrap/>
            <w:vAlign w:val="center"/>
          </w:tcPr>
          <w:p>
            <w:pPr>
              <w:widowControl/>
              <w:spacing w:line="240" w:lineRule="exact"/>
              <w:jc w:val="left"/>
              <w:rPr>
                <w:kern w:val="0"/>
                <w:szCs w:val="21"/>
              </w:rPr>
            </w:pPr>
            <w:r>
              <w:rPr>
                <w:rFonts w:hint="eastAsia"/>
                <w:kern w:val="0"/>
                <w:szCs w:val="21"/>
              </w:rPr>
              <w:t>　5</w:t>
            </w:r>
          </w:p>
        </w:tc>
        <w:tc>
          <w:tcPr>
            <w:tcW w:w="650"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13"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08" w:type="pct"/>
            <w:vMerge w:val="restart"/>
            <w:shd w:val="clear" w:color="auto" w:fill="FFFFFF"/>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76" w:type="pct"/>
            <w:shd w:val="clear" w:color="auto" w:fill="FFFFFF"/>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781" w:type="pct"/>
            <w:shd w:val="clear" w:color="auto" w:fill="FFFFFF"/>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2032" w:type="pct"/>
            <w:vMerge w:val="restart"/>
            <w:shd w:val="clear" w:color="auto" w:fill="FFFFFF"/>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436" w:type="pct"/>
            <w:noWrap/>
            <w:vAlign w:val="center"/>
          </w:tcPr>
          <w:p>
            <w:pPr>
              <w:widowControl/>
              <w:spacing w:line="240" w:lineRule="exact"/>
              <w:jc w:val="left"/>
              <w:rPr>
                <w:kern w:val="0"/>
                <w:szCs w:val="21"/>
              </w:rPr>
            </w:pPr>
            <w:r>
              <w:rPr>
                <w:rFonts w:hint="eastAsia"/>
                <w:kern w:val="0"/>
                <w:szCs w:val="21"/>
              </w:rPr>
              <w:t>　5</w:t>
            </w:r>
          </w:p>
        </w:tc>
        <w:tc>
          <w:tcPr>
            <w:tcW w:w="650"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781" w:type="pct"/>
            <w:shd w:val="clear" w:color="auto" w:fill="FFFFFF"/>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2032" w:type="pct"/>
            <w:vMerge w:val="continue"/>
            <w:vAlign w:val="center"/>
          </w:tcPr>
          <w:p>
            <w:pPr>
              <w:widowControl/>
              <w:spacing w:line="240" w:lineRule="exact"/>
              <w:jc w:val="left"/>
              <w:rPr>
                <w:kern w:val="0"/>
                <w:szCs w:val="21"/>
              </w:rPr>
            </w:pPr>
          </w:p>
        </w:tc>
        <w:tc>
          <w:tcPr>
            <w:tcW w:w="436" w:type="pct"/>
            <w:noWrap/>
            <w:vAlign w:val="center"/>
          </w:tcPr>
          <w:p>
            <w:pPr>
              <w:widowControl/>
              <w:spacing w:line="240" w:lineRule="exact"/>
              <w:jc w:val="left"/>
              <w:rPr>
                <w:kern w:val="0"/>
                <w:szCs w:val="21"/>
              </w:rPr>
            </w:pPr>
            <w:r>
              <w:rPr>
                <w:rFonts w:hint="eastAsia"/>
                <w:kern w:val="0"/>
                <w:szCs w:val="21"/>
              </w:rPr>
              <w:t>　5</w:t>
            </w:r>
          </w:p>
        </w:tc>
        <w:tc>
          <w:tcPr>
            <w:tcW w:w="650"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781" w:type="pct"/>
            <w:shd w:val="clear" w:color="auto" w:fill="FFFFFF"/>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2032" w:type="pct"/>
            <w:vMerge w:val="continue"/>
            <w:vAlign w:val="center"/>
          </w:tcPr>
          <w:p>
            <w:pPr>
              <w:widowControl/>
              <w:spacing w:line="240" w:lineRule="exact"/>
              <w:jc w:val="left"/>
              <w:rPr>
                <w:kern w:val="0"/>
                <w:szCs w:val="21"/>
              </w:rPr>
            </w:pPr>
          </w:p>
        </w:tc>
        <w:tc>
          <w:tcPr>
            <w:tcW w:w="436" w:type="pct"/>
            <w:noWrap/>
            <w:vAlign w:val="center"/>
          </w:tcPr>
          <w:p>
            <w:pPr>
              <w:widowControl/>
              <w:spacing w:line="240" w:lineRule="exact"/>
              <w:jc w:val="left"/>
              <w:rPr>
                <w:kern w:val="0"/>
                <w:szCs w:val="21"/>
              </w:rPr>
            </w:pPr>
            <w:r>
              <w:rPr>
                <w:rFonts w:hint="eastAsia"/>
                <w:kern w:val="0"/>
                <w:szCs w:val="21"/>
              </w:rPr>
              <w:t>　5</w:t>
            </w:r>
          </w:p>
        </w:tc>
        <w:tc>
          <w:tcPr>
            <w:tcW w:w="650"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可持续影响（</w:t>
            </w:r>
            <w:r>
              <w:rPr>
                <w:kern w:val="0"/>
                <w:szCs w:val="21"/>
              </w:rPr>
              <w:t>5</w:t>
            </w:r>
            <w:r>
              <w:rPr>
                <w:rFonts w:hint="eastAsia"/>
                <w:kern w:val="0"/>
                <w:szCs w:val="21"/>
              </w:rPr>
              <w:t>分）</w:t>
            </w:r>
          </w:p>
        </w:tc>
        <w:tc>
          <w:tcPr>
            <w:tcW w:w="781" w:type="pct"/>
            <w:shd w:val="clear" w:color="auto" w:fill="FFFFFF"/>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2032" w:type="pct"/>
            <w:vMerge w:val="continue"/>
            <w:vAlign w:val="center"/>
          </w:tcPr>
          <w:p>
            <w:pPr>
              <w:widowControl/>
              <w:spacing w:line="240" w:lineRule="exact"/>
              <w:jc w:val="left"/>
              <w:rPr>
                <w:kern w:val="0"/>
                <w:szCs w:val="21"/>
              </w:rPr>
            </w:pPr>
          </w:p>
        </w:tc>
        <w:tc>
          <w:tcPr>
            <w:tcW w:w="436" w:type="pct"/>
            <w:noWrap/>
            <w:vAlign w:val="center"/>
          </w:tcPr>
          <w:p>
            <w:pPr>
              <w:widowControl/>
              <w:spacing w:line="240" w:lineRule="exact"/>
              <w:jc w:val="left"/>
              <w:rPr>
                <w:kern w:val="0"/>
                <w:szCs w:val="21"/>
              </w:rPr>
            </w:pPr>
            <w:r>
              <w:rPr>
                <w:rFonts w:hint="eastAsia"/>
                <w:kern w:val="0"/>
                <w:szCs w:val="21"/>
              </w:rPr>
              <w:t>　5</w:t>
            </w:r>
          </w:p>
        </w:tc>
        <w:tc>
          <w:tcPr>
            <w:tcW w:w="650"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781" w:type="pct"/>
            <w:shd w:val="clear" w:color="auto" w:fill="FFFFFF"/>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2032" w:type="pct"/>
            <w:shd w:val="clear" w:color="auto" w:fill="FFFFFF"/>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436" w:type="pct"/>
            <w:noWrap/>
            <w:vAlign w:val="center"/>
          </w:tcPr>
          <w:p>
            <w:pPr>
              <w:widowControl/>
              <w:spacing w:line="240" w:lineRule="exact"/>
              <w:jc w:val="left"/>
              <w:rPr>
                <w:kern w:val="0"/>
                <w:szCs w:val="21"/>
              </w:rPr>
            </w:pPr>
            <w:r>
              <w:rPr>
                <w:rFonts w:hint="eastAsia"/>
                <w:kern w:val="0"/>
                <w:szCs w:val="21"/>
              </w:rPr>
              <w:t>　9</w:t>
            </w:r>
          </w:p>
        </w:tc>
        <w:tc>
          <w:tcPr>
            <w:tcW w:w="650"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3913" w:type="pct"/>
            <w:gridSpan w:val="5"/>
            <w:tcBorders>
              <w:bottom w:val="single" w:color="auto" w:sz="12" w:space="0"/>
            </w:tcBorders>
            <w:shd w:val="clear" w:color="auto" w:fill="FFFFFF"/>
            <w:vAlign w:val="center"/>
          </w:tcPr>
          <w:p>
            <w:pPr>
              <w:widowControl/>
              <w:spacing w:line="240" w:lineRule="exact"/>
              <w:jc w:val="center"/>
              <w:rPr>
                <w:kern w:val="0"/>
                <w:szCs w:val="21"/>
              </w:rPr>
            </w:pPr>
            <w:r>
              <w:rPr>
                <w:rFonts w:hint="eastAsia"/>
                <w:kern w:val="0"/>
                <w:szCs w:val="21"/>
              </w:rPr>
              <w:t>合计</w:t>
            </w:r>
          </w:p>
        </w:tc>
        <w:tc>
          <w:tcPr>
            <w:tcW w:w="436"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98</w:t>
            </w:r>
          </w:p>
        </w:tc>
        <w:tc>
          <w:tcPr>
            <w:tcW w:w="650"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425"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2</w:t>
      </w:r>
      <w:r>
        <w:rPr>
          <w:rFonts w:hint="eastAsia" w:eastAsia="方正小标宋简体"/>
          <w:color w:val="000000"/>
          <w:spacing w:val="-12"/>
          <w:kern w:val="0"/>
          <w:sz w:val="44"/>
          <w:szCs w:val="44"/>
        </w:rPr>
        <w:t>年度乐至县项目支出绩效目标完成情况表</w:t>
      </w:r>
    </w:p>
    <w:p>
      <w:pPr>
        <w:pStyle w:val="2"/>
        <w:spacing w:after="0" w:line="240" w:lineRule="exact"/>
        <w:rPr>
          <w:rFonts w:ascii="宋体"/>
        </w:rPr>
      </w:pPr>
    </w:p>
    <w:tbl>
      <w:tblPr>
        <w:tblStyle w:val="6"/>
        <w:tblW w:w="958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85"/>
        <w:gridCol w:w="1058"/>
        <w:gridCol w:w="1331"/>
        <w:gridCol w:w="990"/>
        <w:gridCol w:w="1200"/>
        <w:gridCol w:w="1920"/>
        <w:gridCol w:w="220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5"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8702" w:type="dxa"/>
            <w:gridSpan w:val="6"/>
            <w:tcBorders>
              <w:top w:val="single" w:color="auto" w:sz="12" w:space="0"/>
            </w:tcBorders>
            <w:noWrap/>
            <w:vAlign w:val="center"/>
          </w:tcPr>
          <w:p>
            <w:pPr>
              <w:widowControl/>
              <w:spacing w:line="240" w:lineRule="exact"/>
              <w:jc w:val="center"/>
              <w:rPr>
                <w:color w:val="000000"/>
                <w:kern w:val="0"/>
                <w:szCs w:val="21"/>
              </w:rPr>
            </w:pPr>
            <w:r>
              <w:rPr>
                <w:rFonts w:hint="eastAsia" w:eastAsia="方正楷体简体"/>
                <w:b/>
                <w:sz w:val="22"/>
                <w:szCs w:val="22"/>
              </w:rPr>
              <w:t>202</w:t>
            </w:r>
            <w:r>
              <w:rPr>
                <w:rFonts w:hint="eastAsia" w:eastAsia="方正楷体简体"/>
                <w:b/>
                <w:sz w:val="22"/>
                <w:szCs w:val="22"/>
                <w:lang w:val="en-US" w:eastAsia="zh-CN"/>
              </w:rPr>
              <w:t>2</w:t>
            </w:r>
            <w:r>
              <w:rPr>
                <w:rFonts w:hint="eastAsia" w:eastAsia="方正楷体简体"/>
                <w:b/>
                <w:sz w:val="22"/>
                <w:szCs w:val="22"/>
              </w:rPr>
              <w:t>年度城乡环境综合治理专项资金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5"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1058"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1331" w:type="dxa"/>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2190"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4123"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885" w:type="dxa"/>
            <w:vMerge w:val="continue"/>
            <w:vAlign w:val="center"/>
          </w:tcPr>
          <w:p>
            <w:pPr>
              <w:widowControl/>
              <w:spacing w:line="240" w:lineRule="exact"/>
              <w:jc w:val="left"/>
              <w:rPr>
                <w:color w:val="000000"/>
                <w:kern w:val="0"/>
                <w:szCs w:val="21"/>
              </w:rPr>
            </w:pPr>
          </w:p>
        </w:tc>
        <w:tc>
          <w:tcPr>
            <w:tcW w:w="1058" w:type="dxa"/>
            <w:noWrap/>
            <w:vAlign w:val="center"/>
          </w:tcPr>
          <w:p>
            <w:pPr>
              <w:widowControl/>
              <w:spacing w:line="240" w:lineRule="exact"/>
              <w:jc w:val="center"/>
              <w:rPr>
                <w:color w:val="000000"/>
                <w:kern w:val="0"/>
                <w:szCs w:val="21"/>
              </w:rPr>
            </w:pPr>
            <w:r>
              <w:rPr>
                <w:rFonts w:hint="eastAsia"/>
                <w:color w:val="000000"/>
                <w:kern w:val="0"/>
                <w:szCs w:val="21"/>
              </w:rPr>
              <w:t>□</w:t>
            </w:r>
          </w:p>
        </w:tc>
        <w:tc>
          <w:tcPr>
            <w:tcW w:w="1331" w:type="dxa"/>
            <w:noWrap/>
            <w:vAlign w:val="center"/>
          </w:tcPr>
          <w:p>
            <w:pPr>
              <w:spacing w:line="240" w:lineRule="exact"/>
              <w:jc w:val="center"/>
              <w:rPr>
                <w:szCs w:val="21"/>
              </w:rPr>
            </w:pPr>
            <w:r>
              <w:rPr>
                <w:rFonts w:hint="eastAsia"/>
                <w:color w:val="000000"/>
                <w:kern w:val="0"/>
                <w:szCs w:val="21"/>
              </w:rPr>
              <w:t>□</w:t>
            </w:r>
          </w:p>
        </w:tc>
        <w:tc>
          <w:tcPr>
            <w:tcW w:w="2190" w:type="dxa"/>
            <w:gridSpan w:val="2"/>
            <w:noWrap/>
            <w:vAlign w:val="center"/>
          </w:tcPr>
          <w:p>
            <w:pPr>
              <w:spacing w:line="240" w:lineRule="exact"/>
              <w:jc w:val="center"/>
              <w:rPr>
                <w:szCs w:val="21"/>
              </w:rPr>
            </w:pPr>
            <w:r>
              <w:rPr>
                <w:rFonts w:hint="eastAsia"/>
                <w:color w:val="000000"/>
                <w:kern w:val="0"/>
                <w:szCs w:val="21"/>
              </w:rPr>
              <w:t>□</w:t>
            </w:r>
          </w:p>
        </w:tc>
        <w:tc>
          <w:tcPr>
            <w:tcW w:w="4123" w:type="dxa"/>
            <w:gridSpan w:val="2"/>
            <w:noWrap/>
            <w:vAlign w:val="center"/>
          </w:tcPr>
          <w:p>
            <w:pPr>
              <w:spacing w:line="240" w:lineRule="exact"/>
              <w:jc w:val="center"/>
              <w:rPr>
                <w:szCs w:val="21"/>
              </w:rPr>
            </w:pPr>
            <w:r>
              <w:rPr>
                <w:rFonts w:hint="eastAsia"/>
                <w:color w:val="000000"/>
                <w:kern w:val="0"/>
                <w:szCs w:val="21"/>
              </w:rPr>
              <w:sym w:font="Wingdings 2" w:char="0052"/>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5"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4579" w:type="dxa"/>
            <w:gridSpan w:val="4"/>
            <w:noWrap/>
            <w:vAlign w:val="center"/>
          </w:tcPr>
          <w:p>
            <w:pPr>
              <w:widowControl/>
              <w:spacing w:line="240" w:lineRule="exact"/>
              <w:jc w:val="center"/>
              <w:rPr>
                <w:color w:val="000000"/>
                <w:kern w:val="0"/>
                <w:szCs w:val="21"/>
              </w:rPr>
            </w:pPr>
            <w:r>
              <w:rPr>
                <w:rFonts w:hint="eastAsia"/>
                <w:color w:val="000000"/>
                <w:kern w:val="0"/>
                <w:szCs w:val="21"/>
              </w:rPr>
              <w:t>乐至县人民政府南塔街道办事处</w:t>
            </w:r>
          </w:p>
        </w:tc>
        <w:tc>
          <w:tcPr>
            <w:tcW w:w="1920"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2203" w:type="dxa"/>
            <w:noWrap/>
            <w:vAlign w:val="center"/>
          </w:tcPr>
          <w:p>
            <w:pPr>
              <w:widowControl/>
              <w:spacing w:line="240" w:lineRule="exact"/>
              <w:jc w:val="left"/>
              <w:rPr>
                <w:color w:val="000000"/>
                <w:kern w:val="0"/>
                <w:szCs w:val="21"/>
              </w:rPr>
            </w:pPr>
            <w:r>
              <w:rPr>
                <w:rFonts w:hint="eastAsia"/>
                <w:color w:val="000000"/>
                <w:kern w:val="0"/>
                <w:szCs w:val="21"/>
              </w:rPr>
              <w:t>　301001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885" w:type="dxa"/>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1058"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1331"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百元</w:t>
            </w:r>
            <w:r>
              <w:rPr>
                <w:color w:val="000000"/>
                <w:kern w:val="0"/>
                <w:szCs w:val="21"/>
              </w:rPr>
              <w:t>)</w:t>
            </w:r>
          </w:p>
        </w:tc>
        <w:tc>
          <w:tcPr>
            <w:tcW w:w="990"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百元</w:t>
            </w:r>
            <w:r>
              <w:rPr>
                <w:color w:val="000000"/>
                <w:kern w:val="0"/>
                <w:szCs w:val="21"/>
              </w:rPr>
              <w:t>)</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1920"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2203"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5" w:type="dxa"/>
            <w:vMerge w:val="continue"/>
            <w:vAlign w:val="center"/>
          </w:tcPr>
          <w:p>
            <w:pPr>
              <w:widowControl/>
              <w:spacing w:line="240" w:lineRule="exact"/>
              <w:jc w:val="left"/>
              <w:rPr>
                <w:color w:val="000000"/>
                <w:kern w:val="0"/>
                <w:szCs w:val="21"/>
              </w:rPr>
            </w:pPr>
          </w:p>
        </w:tc>
        <w:tc>
          <w:tcPr>
            <w:tcW w:w="1058"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1331"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3120</w:t>
            </w:r>
            <w:r>
              <w:rPr>
                <w:rFonts w:hint="eastAsia"/>
                <w:color w:val="000000"/>
                <w:kern w:val="0"/>
                <w:szCs w:val="21"/>
              </w:rPr>
              <w:t>.00</w:t>
            </w:r>
          </w:p>
        </w:tc>
        <w:tc>
          <w:tcPr>
            <w:tcW w:w="990"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3120</w:t>
            </w:r>
            <w:r>
              <w:rPr>
                <w:rFonts w:hint="eastAsia"/>
                <w:color w:val="000000"/>
                <w:kern w:val="0"/>
                <w:szCs w:val="21"/>
              </w:rPr>
              <w:t>.00</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1920"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2203" w:type="dxa"/>
            <w:noWrap/>
            <w:vAlign w:val="center"/>
          </w:tcPr>
          <w:p>
            <w:pPr>
              <w:widowControl/>
              <w:spacing w:line="240" w:lineRule="exact"/>
              <w:jc w:val="center"/>
              <w:rPr>
                <w:color w:val="000000"/>
                <w:kern w:val="0"/>
                <w:szCs w:val="21"/>
              </w:rPr>
            </w:pPr>
            <w:r>
              <w:rPr>
                <w:rFonts w:hint="eastAsia"/>
                <w:color w:val="000000"/>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5" w:type="dxa"/>
            <w:vMerge w:val="continue"/>
            <w:vAlign w:val="center"/>
          </w:tcPr>
          <w:p>
            <w:pPr>
              <w:widowControl/>
              <w:spacing w:line="240" w:lineRule="exact"/>
              <w:jc w:val="left"/>
              <w:rPr>
                <w:color w:val="000000"/>
                <w:kern w:val="0"/>
                <w:szCs w:val="21"/>
              </w:rPr>
            </w:pPr>
          </w:p>
        </w:tc>
        <w:tc>
          <w:tcPr>
            <w:tcW w:w="1058"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1331"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3120</w:t>
            </w:r>
            <w:r>
              <w:rPr>
                <w:rFonts w:hint="eastAsia"/>
                <w:color w:val="000000"/>
                <w:kern w:val="0"/>
                <w:szCs w:val="21"/>
              </w:rPr>
              <w:t>.00</w:t>
            </w:r>
          </w:p>
        </w:tc>
        <w:tc>
          <w:tcPr>
            <w:tcW w:w="990"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3120</w:t>
            </w:r>
            <w:r>
              <w:rPr>
                <w:rFonts w:hint="eastAsia"/>
                <w:color w:val="000000"/>
                <w:kern w:val="0"/>
                <w:szCs w:val="21"/>
              </w:rPr>
              <w:t>.00</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1920"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2203" w:type="dxa"/>
            <w:noWrap/>
            <w:vAlign w:val="center"/>
          </w:tcPr>
          <w:p>
            <w:pPr>
              <w:widowControl/>
              <w:spacing w:line="240" w:lineRule="exact"/>
              <w:jc w:val="center"/>
              <w:rPr>
                <w:color w:val="000000"/>
                <w:kern w:val="0"/>
                <w:szCs w:val="21"/>
              </w:rPr>
            </w:pPr>
            <w:r>
              <w:rPr>
                <w:rFonts w:hint="eastAsia"/>
                <w:color w:val="000000"/>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5" w:type="dxa"/>
            <w:vMerge w:val="continue"/>
            <w:vAlign w:val="center"/>
          </w:tcPr>
          <w:p>
            <w:pPr>
              <w:widowControl/>
              <w:spacing w:line="240" w:lineRule="exact"/>
              <w:jc w:val="left"/>
              <w:rPr>
                <w:color w:val="000000"/>
                <w:kern w:val="0"/>
                <w:szCs w:val="21"/>
              </w:rPr>
            </w:pPr>
          </w:p>
        </w:tc>
        <w:tc>
          <w:tcPr>
            <w:tcW w:w="1058"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1331"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990"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1920"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2203" w:type="dxa"/>
            <w:noWrap/>
            <w:vAlign w:val="center"/>
          </w:tcPr>
          <w:p>
            <w:pPr>
              <w:widowControl/>
              <w:spacing w:line="240" w:lineRule="exact"/>
              <w:jc w:val="center"/>
              <w:rPr>
                <w:color w:val="000000"/>
                <w:kern w:val="0"/>
                <w:szCs w:val="21"/>
              </w:rPr>
            </w:pPr>
            <w:r>
              <w:rPr>
                <w:rFonts w:hint="eastAsia"/>
                <w:color w:val="000000"/>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885"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1058"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1331"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990"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920"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2203"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5" w:type="dxa"/>
            <w:vMerge w:val="continue"/>
            <w:vAlign w:val="center"/>
          </w:tcPr>
          <w:p>
            <w:pPr>
              <w:widowControl/>
              <w:spacing w:line="240" w:lineRule="exact"/>
              <w:jc w:val="left"/>
              <w:rPr>
                <w:color w:val="000000"/>
                <w:kern w:val="0"/>
                <w:szCs w:val="21"/>
              </w:rPr>
            </w:pPr>
          </w:p>
        </w:tc>
        <w:tc>
          <w:tcPr>
            <w:tcW w:w="1058"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1331"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3120</w:t>
            </w:r>
            <w:r>
              <w:rPr>
                <w:rFonts w:hint="eastAsia"/>
                <w:color w:val="000000"/>
                <w:kern w:val="0"/>
                <w:szCs w:val="21"/>
              </w:rPr>
              <w:t>.00</w:t>
            </w:r>
          </w:p>
        </w:tc>
        <w:tc>
          <w:tcPr>
            <w:tcW w:w="990"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3120</w:t>
            </w:r>
            <w:r>
              <w:rPr>
                <w:rFonts w:hint="eastAsia"/>
                <w:color w:val="000000"/>
                <w:kern w:val="0"/>
                <w:szCs w:val="21"/>
              </w:rPr>
              <w:t>.00</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1920"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2203" w:type="dxa"/>
            <w:noWrap/>
            <w:vAlign w:val="center"/>
          </w:tcPr>
          <w:p>
            <w:pPr>
              <w:widowControl/>
              <w:spacing w:line="240" w:lineRule="exact"/>
              <w:jc w:val="center"/>
              <w:rPr>
                <w:color w:val="000000"/>
                <w:kern w:val="0"/>
                <w:szCs w:val="21"/>
              </w:rPr>
            </w:pPr>
            <w:r>
              <w:rPr>
                <w:rFonts w:hint="eastAsia"/>
                <w:color w:val="000000"/>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5" w:type="dxa"/>
            <w:vMerge w:val="continue"/>
            <w:vAlign w:val="center"/>
          </w:tcPr>
          <w:p>
            <w:pPr>
              <w:widowControl/>
              <w:spacing w:line="240" w:lineRule="exact"/>
              <w:jc w:val="left"/>
              <w:rPr>
                <w:color w:val="000000"/>
                <w:kern w:val="0"/>
                <w:szCs w:val="21"/>
              </w:rPr>
            </w:pPr>
          </w:p>
        </w:tc>
        <w:tc>
          <w:tcPr>
            <w:tcW w:w="1058"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1331"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990"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1920"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2203" w:type="dxa"/>
            <w:noWrap/>
            <w:vAlign w:val="center"/>
          </w:tcPr>
          <w:p>
            <w:pPr>
              <w:widowControl/>
              <w:spacing w:line="240" w:lineRule="exact"/>
              <w:jc w:val="center"/>
              <w:rPr>
                <w:color w:val="000000"/>
                <w:kern w:val="0"/>
                <w:szCs w:val="21"/>
              </w:rPr>
            </w:pPr>
            <w:r>
              <w:rPr>
                <w:rFonts w:hint="eastAsia"/>
                <w:color w:val="000000"/>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5" w:type="dxa"/>
            <w:vMerge w:val="continue"/>
            <w:vAlign w:val="center"/>
          </w:tcPr>
          <w:p>
            <w:pPr>
              <w:widowControl/>
              <w:spacing w:line="240" w:lineRule="exact"/>
              <w:jc w:val="left"/>
              <w:rPr>
                <w:color w:val="000000"/>
                <w:kern w:val="0"/>
                <w:szCs w:val="21"/>
              </w:rPr>
            </w:pPr>
          </w:p>
        </w:tc>
        <w:tc>
          <w:tcPr>
            <w:tcW w:w="1058"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1331"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990"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1920"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2203" w:type="dxa"/>
            <w:noWrap/>
            <w:vAlign w:val="center"/>
          </w:tcPr>
          <w:p>
            <w:pPr>
              <w:widowControl/>
              <w:spacing w:line="240" w:lineRule="exact"/>
              <w:jc w:val="center"/>
              <w:rPr>
                <w:color w:val="000000"/>
                <w:kern w:val="0"/>
                <w:szCs w:val="21"/>
              </w:rPr>
            </w:pPr>
            <w:r>
              <w:rPr>
                <w:rFonts w:hint="eastAsia"/>
                <w:color w:val="000000"/>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5" w:type="dxa"/>
            <w:vMerge w:val="continue"/>
            <w:vAlign w:val="center"/>
          </w:tcPr>
          <w:p>
            <w:pPr>
              <w:widowControl/>
              <w:spacing w:line="240" w:lineRule="exact"/>
              <w:jc w:val="left"/>
              <w:rPr>
                <w:color w:val="000000"/>
                <w:kern w:val="0"/>
                <w:szCs w:val="21"/>
              </w:rPr>
            </w:pPr>
          </w:p>
        </w:tc>
        <w:tc>
          <w:tcPr>
            <w:tcW w:w="1058"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331"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990" w:type="dxa"/>
            <w:noWrap/>
            <w:vAlign w:val="center"/>
          </w:tcPr>
          <w:p>
            <w:pPr>
              <w:widowControl/>
              <w:spacing w:line="240" w:lineRule="exact"/>
              <w:jc w:val="center"/>
              <w:rPr>
                <w:color w:val="000000"/>
                <w:kern w:val="0"/>
                <w:szCs w:val="21"/>
              </w:rPr>
            </w:pP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1920"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2203" w:type="dxa"/>
            <w:noWrap/>
            <w:vAlign w:val="center"/>
          </w:tcPr>
          <w:p>
            <w:pPr>
              <w:widowControl/>
              <w:spacing w:line="240" w:lineRule="exact"/>
              <w:jc w:val="center"/>
              <w:rPr>
                <w:color w:val="000000"/>
                <w:kern w:val="0"/>
                <w:szCs w:val="21"/>
              </w:rPr>
            </w:pPr>
            <w:r>
              <w:rPr>
                <w:rFonts w:hint="eastAsia"/>
                <w:color w:val="000000"/>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5" w:type="dxa"/>
            <w:vMerge w:val="continue"/>
            <w:vAlign w:val="center"/>
          </w:tcPr>
          <w:p>
            <w:pPr>
              <w:widowControl/>
              <w:spacing w:line="240" w:lineRule="exact"/>
              <w:jc w:val="left"/>
              <w:rPr>
                <w:color w:val="000000"/>
                <w:kern w:val="0"/>
                <w:szCs w:val="21"/>
              </w:rPr>
            </w:pPr>
          </w:p>
        </w:tc>
        <w:tc>
          <w:tcPr>
            <w:tcW w:w="1058"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1331"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990"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1920"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2203" w:type="dxa"/>
            <w:noWrap/>
            <w:vAlign w:val="center"/>
          </w:tcPr>
          <w:p>
            <w:pPr>
              <w:widowControl/>
              <w:spacing w:line="240" w:lineRule="exact"/>
              <w:jc w:val="center"/>
              <w:rPr>
                <w:color w:val="000000"/>
                <w:kern w:val="0"/>
                <w:szCs w:val="21"/>
              </w:rPr>
            </w:pPr>
            <w:r>
              <w:rPr>
                <w:rFonts w:hint="eastAsia"/>
                <w:color w:val="000000"/>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885"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2389"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2190"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4123"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5" w:type="dxa"/>
            <w:vMerge w:val="continue"/>
            <w:vAlign w:val="center"/>
          </w:tcPr>
          <w:p>
            <w:pPr>
              <w:widowControl/>
              <w:spacing w:line="240" w:lineRule="exact"/>
              <w:jc w:val="left"/>
              <w:rPr>
                <w:color w:val="000000"/>
                <w:kern w:val="0"/>
                <w:szCs w:val="21"/>
              </w:rPr>
            </w:pPr>
          </w:p>
        </w:tc>
        <w:tc>
          <w:tcPr>
            <w:tcW w:w="2389" w:type="dxa"/>
            <w:gridSpan w:val="2"/>
            <w:noWrap/>
            <w:vAlign w:val="center"/>
          </w:tcPr>
          <w:p>
            <w:pPr>
              <w:widowControl/>
              <w:spacing w:line="240" w:lineRule="exact"/>
              <w:jc w:val="left"/>
              <w:rPr>
                <w:color w:val="000000"/>
                <w:kern w:val="0"/>
                <w:szCs w:val="21"/>
              </w:rPr>
            </w:pPr>
            <w:r>
              <w:rPr>
                <w:rFonts w:hint="eastAsia"/>
                <w:color w:val="000000"/>
                <w:kern w:val="0"/>
                <w:szCs w:val="21"/>
              </w:rPr>
              <w:t>保障202</w:t>
            </w:r>
            <w:r>
              <w:rPr>
                <w:rFonts w:hint="eastAsia"/>
                <w:color w:val="000000"/>
                <w:kern w:val="0"/>
                <w:szCs w:val="21"/>
                <w:lang w:val="en-US" w:eastAsia="zh-CN"/>
              </w:rPr>
              <w:t>1</w:t>
            </w:r>
            <w:r>
              <w:rPr>
                <w:rFonts w:hint="eastAsia"/>
                <w:color w:val="000000"/>
                <w:kern w:val="0"/>
                <w:szCs w:val="21"/>
              </w:rPr>
              <w:t>年环卫服务工作正常开展。</w:t>
            </w:r>
          </w:p>
        </w:tc>
        <w:tc>
          <w:tcPr>
            <w:tcW w:w="2190" w:type="dxa"/>
            <w:gridSpan w:val="2"/>
            <w:noWrap/>
            <w:vAlign w:val="center"/>
          </w:tcPr>
          <w:p>
            <w:pPr>
              <w:widowControl/>
              <w:spacing w:line="240" w:lineRule="exact"/>
              <w:jc w:val="center"/>
              <w:rPr>
                <w:color w:val="000000"/>
                <w:kern w:val="0"/>
                <w:szCs w:val="21"/>
              </w:rPr>
            </w:pPr>
            <w:r>
              <w:rPr>
                <w:rFonts w:hint="eastAsia"/>
                <w:color w:val="000000"/>
                <w:kern w:val="0"/>
                <w:szCs w:val="21"/>
              </w:rPr>
              <w:t>顺利完成202</w:t>
            </w:r>
            <w:r>
              <w:rPr>
                <w:rFonts w:hint="eastAsia"/>
                <w:color w:val="000000"/>
                <w:kern w:val="0"/>
                <w:szCs w:val="21"/>
                <w:lang w:val="en-US" w:eastAsia="zh-CN"/>
              </w:rPr>
              <w:t>2</w:t>
            </w:r>
            <w:r>
              <w:rPr>
                <w:rFonts w:hint="eastAsia"/>
                <w:color w:val="000000"/>
                <w:kern w:val="0"/>
                <w:szCs w:val="21"/>
              </w:rPr>
              <w:t>年村（社区）垃圾清运，维护和保持了良好的城乡环境</w:t>
            </w:r>
          </w:p>
        </w:tc>
        <w:tc>
          <w:tcPr>
            <w:tcW w:w="4123" w:type="dxa"/>
            <w:gridSpan w:val="2"/>
            <w:noWrap/>
            <w:vAlign w:val="center"/>
          </w:tcPr>
          <w:p>
            <w:pPr>
              <w:widowControl/>
              <w:spacing w:line="240" w:lineRule="exact"/>
              <w:jc w:val="center"/>
              <w:rPr>
                <w:color w:val="000000"/>
                <w:kern w:val="0"/>
                <w:szCs w:val="21"/>
              </w:rPr>
            </w:pPr>
            <w:r>
              <w:rPr>
                <w:rFonts w:hint="eastAsia"/>
                <w:color w:val="000000"/>
                <w:kern w:val="0"/>
                <w:szCs w:val="21"/>
              </w:rPr>
              <w:t>　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885" w:type="dxa"/>
            <w:vMerge w:val="restart"/>
            <w:noWrap/>
            <w:vAlign w:val="center"/>
          </w:tcPr>
          <w:p>
            <w:pPr>
              <w:widowControl/>
              <w:spacing w:line="240" w:lineRule="exact"/>
              <w:jc w:val="center"/>
              <w:rPr>
                <w:color w:val="000000"/>
                <w:kern w:val="0"/>
                <w:szCs w:val="21"/>
              </w:rPr>
            </w:pPr>
          </w:p>
          <w:p>
            <w:pPr>
              <w:widowControl/>
              <w:spacing w:line="240" w:lineRule="exact"/>
              <w:rPr>
                <w:color w:val="000000"/>
                <w:kern w:val="0"/>
                <w:szCs w:val="21"/>
              </w:rPr>
            </w:pPr>
          </w:p>
          <w:p>
            <w:pPr>
              <w:widowControl/>
              <w:spacing w:line="240" w:lineRule="exact"/>
              <w:jc w:val="center"/>
              <w:rPr>
                <w:color w:val="000000"/>
                <w:kern w:val="0"/>
                <w:szCs w:val="21"/>
              </w:rPr>
            </w:pPr>
          </w:p>
          <w:p>
            <w:pPr>
              <w:widowControl/>
              <w:spacing w:line="240" w:lineRule="exact"/>
              <w:jc w:val="center"/>
              <w:rPr>
                <w:color w:val="000000"/>
                <w:kern w:val="0"/>
                <w:szCs w:val="21"/>
              </w:rPr>
            </w:pPr>
          </w:p>
          <w:p>
            <w:pPr>
              <w:widowControl/>
              <w:spacing w:line="240" w:lineRule="exact"/>
              <w:jc w:val="center"/>
              <w:rPr>
                <w:rFonts w:ascii="宋体" w:hAnsi="宋体" w:cs="宋体"/>
                <w:color w:val="000000"/>
                <w:kern w:val="0"/>
                <w:szCs w:val="21"/>
              </w:rPr>
            </w:pPr>
          </w:p>
          <w:p>
            <w:pPr>
              <w:widowControl/>
              <w:spacing w:line="240" w:lineRule="exact"/>
              <w:jc w:val="center"/>
              <w:rPr>
                <w:rFonts w:ascii="宋体" w:hAnsi="宋体" w:cs="宋体"/>
                <w:color w:val="000000"/>
                <w:kern w:val="0"/>
                <w:szCs w:val="21"/>
              </w:rPr>
            </w:pPr>
            <w:r>
              <w:rPr>
                <w:rFonts w:hint="eastAsia" w:ascii="宋体" w:hAnsi="宋体" w:cs="宋体"/>
                <w:color w:val="000000"/>
                <w:kern w:val="0"/>
                <w:szCs w:val="21"/>
              </w:rPr>
              <w:t>年</w:t>
            </w:r>
          </w:p>
          <w:p>
            <w:pPr>
              <w:widowControl/>
              <w:spacing w:line="240" w:lineRule="exact"/>
              <w:jc w:val="center"/>
              <w:rPr>
                <w:rFonts w:ascii="宋体" w:hAnsi="宋体" w:cs="宋体"/>
                <w:color w:val="000000"/>
                <w:kern w:val="0"/>
                <w:szCs w:val="21"/>
              </w:rPr>
            </w:pPr>
            <w:r>
              <w:rPr>
                <w:rFonts w:hint="eastAsia" w:ascii="宋体" w:hAnsi="宋体" w:cs="宋体"/>
                <w:color w:val="000000"/>
                <w:kern w:val="0"/>
                <w:szCs w:val="21"/>
              </w:rPr>
              <w:t>度</w:t>
            </w:r>
          </w:p>
          <w:p>
            <w:pPr>
              <w:widowControl/>
              <w:spacing w:line="240" w:lineRule="exact"/>
              <w:jc w:val="center"/>
              <w:rPr>
                <w:rFonts w:ascii="宋体" w:hAnsi="宋体" w:cs="宋体"/>
                <w:color w:val="000000"/>
                <w:kern w:val="0"/>
                <w:szCs w:val="21"/>
              </w:rPr>
            </w:pPr>
            <w:r>
              <w:rPr>
                <w:rFonts w:hint="eastAsia" w:ascii="宋体" w:hAnsi="宋体" w:cs="宋体"/>
                <w:color w:val="000000"/>
                <w:kern w:val="0"/>
                <w:szCs w:val="21"/>
              </w:rPr>
              <w:t>绩</w:t>
            </w:r>
          </w:p>
          <w:p>
            <w:pPr>
              <w:widowControl/>
              <w:spacing w:line="240" w:lineRule="exact"/>
              <w:jc w:val="center"/>
              <w:rPr>
                <w:rFonts w:ascii="宋体" w:hAnsi="宋体" w:cs="宋体"/>
                <w:color w:val="000000"/>
                <w:kern w:val="0"/>
                <w:szCs w:val="21"/>
              </w:rPr>
            </w:pPr>
            <w:r>
              <w:rPr>
                <w:rFonts w:hint="eastAsia" w:ascii="宋体" w:hAnsi="宋体" w:cs="宋体"/>
                <w:color w:val="000000"/>
                <w:kern w:val="0"/>
                <w:szCs w:val="21"/>
              </w:rPr>
              <w:t>效</w:t>
            </w:r>
          </w:p>
          <w:p>
            <w:pPr>
              <w:widowControl/>
              <w:spacing w:line="240" w:lineRule="exact"/>
              <w:jc w:val="center"/>
              <w:rPr>
                <w:rFonts w:ascii="宋体" w:hAnsi="宋体" w:cs="宋体"/>
                <w:color w:val="000000"/>
                <w:kern w:val="0"/>
                <w:szCs w:val="21"/>
              </w:rPr>
            </w:pPr>
            <w:r>
              <w:rPr>
                <w:rFonts w:hint="eastAsia" w:ascii="宋体" w:hAnsi="宋体" w:cs="宋体"/>
                <w:color w:val="000000"/>
                <w:kern w:val="0"/>
                <w:szCs w:val="21"/>
              </w:rPr>
              <w:t>指</w:t>
            </w:r>
          </w:p>
          <w:p>
            <w:pPr>
              <w:widowControl/>
              <w:spacing w:line="240" w:lineRule="exact"/>
              <w:jc w:val="center"/>
              <w:rPr>
                <w:color w:val="000000"/>
                <w:kern w:val="0"/>
                <w:szCs w:val="21"/>
              </w:rPr>
            </w:pPr>
            <w:r>
              <w:rPr>
                <w:rFonts w:hint="eastAsia" w:ascii="宋体" w:hAnsi="宋体" w:cs="宋体"/>
                <w:color w:val="000000"/>
                <w:kern w:val="0"/>
                <w:szCs w:val="21"/>
              </w:rPr>
              <w:t>标</w:t>
            </w:r>
          </w:p>
        </w:tc>
        <w:tc>
          <w:tcPr>
            <w:tcW w:w="1058"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1331"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990"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920"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2203"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5" w:hRule="atLeast"/>
          <w:jc w:val="center"/>
        </w:trPr>
        <w:tc>
          <w:tcPr>
            <w:tcW w:w="885" w:type="dxa"/>
            <w:vMerge w:val="continue"/>
            <w:vAlign w:val="center"/>
          </w:tcPr>
          <w:p>
            <w:pPr>
              <w:widowControl/>
              <w:spacing w:line="240" w:lineRule="exact"/>
              <w:jc w:val="left"/>
              <w:rPr>
                <w:color w:val="000000"/>
                <w:kern w:val="0"/>
                <w:szCs w:val="21"/>
              </w:rPr>
            </w:pPr>
          </w:p>
        </w:tc>
        <w:tc>
          <w:tcPr>
            <w:tcW w:w="1058"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1331" w:type="dxa"/>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990"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rPr>
              <w:t>:生服务村社区数量</w:t>
            </w:r>
          </w:p>
        </w:tc>
        <w:tc>
          <w:tcPr>
            <w:tcW w:w="1200" w:type="dxa"/>
            <w:noWrap/>
            <w:vAlign w:val="center"/>
          </w:tcPr>
          <w:p>
            <w:pPr>
              <w:widowControl/>
              <w:spacing w:line="240" w:lineRule="exact"/>
              <w:jc w:val="left"/>
              <w:rPr>
                <w:color w:val="000000"/>
                <w:kern w:val="0"/>
                <w:szCs w:val="21"/>
              </w:rPr>
            </w:pPr>
            <w:r>
              <w:rPr>
                <w:rFonts w:hint="eastAsia"/>
                <w:color w:val="000000"/>
                <w:kern w:val="0"/>
                <w:szCs w:val="21"/>
              </w:rPr>
              <w:t>　等于19个村（社区）</w:t>
            </w:r>
          </w:p>
        </w:tc>
        <w:tc>
          <w:tcPr>
            <w:tcW w:w="1920" w:type="dxa"/>
            <w:noWrap/>
            <w:vAlign w:val="center"/>
          </w:tcPr>
          <w:p>
            <w:pPr>
              <w:widowControl/>
              <w:spacing w:line="240" w:lineRule="exact"/>
              <w:jc w:val="left"/>
              <w:rPr>
                <w:color w:val="000000"/>
                <w:kern w:val="0"/>
                <w:szCs w:val="21"/>
              </w:rPr>
            </w:pPr>
            <w:r>
              <w:rPr>
                <w:rFonts w:hint="eastAsia"/>
                <w:color w:val="000000"/>
                <w:kern w:val="0"/>
                <w:szCs w:val="21"/>
              </w:rPr>
              <w:t>202</w:t>
            </w:r>
            <w:r>
              <w:rPr>
                <w:rFonts w:hint="eastAsia"/>
                <w:color w:val="000000"/>
                <w:kern w:val="0"/>
                <w:szCs w:val="21"/>
                <w:lang w:val="en-US" w:eastAsia="zh-CN"/>
              </w:rPr>
              <w:t>2</w:t>
            </w:r>
            <w:r>
              <w:rPr>
                <w:rFonts w:hint="eastAsia"/>
                <w:color w:val="000000"/>
                <w:kern w:val="0"/>
                <w:szCs w:val="21"/>
              </w:rPr>
              <w:t>完成全街道19个村社区城乡社区环境卫生整治</w:t>
            </w:r>
          </w:p>
        </w:tc>
        <w:tc>
          <w:tcPr>
            <w:tcW w:w="2203" w:type="dxa"/>
            <w:noWrap/>
            <w:vAlign w:val="center"/>
          </w:tcPr>
          <w:p>
            <w:pPr>
              <w:widowControl/>
              <w:spacing w:line="240" w:lineRule="exact"/>
              <w:jc w:val="left"/>
              <w:rPr>
                <w:color w:val="000000"/>
                <w:kern w:val="0"/>
                <w:szCs w:val="21"/>
              </w:rPr>
            </w:pPr>
            <w:r>
              <w:rPr>
                <w:rFonts w:hint="eastAsia"/>
                <w:color w:val="000000"/>
                <w:kern w:val="0"/>
                <w:szCs w:val="21"/>
              </w:rPr>
              <w:t>　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0" w:hRule="atLeast"/>
          <w:jc w:val="center"/>
        </w:trPr>
        <w:tc>
          <w:tcPr>
            <w:tcW w:w="885" w:type="dxa"/>
            <w:vMerge w:val="continue"/>
            <w:vAlign w:val="center"/>
          </w:tcPr>
          <w:p>
            <w:pPr>
              <w:widowControl/>
              <w:spacing w:line="240" w:lineRule="exact"/>
              <w:jc w:val="left"/>
              <w:rPr>
                <w:color w:val="000000"/>
                <w:kern w:val="0"/>
                <w:szCs w:val="21"/>
              </w:rPr>
            </w:pPr>
          </w:p>
        </w:tc>
        <w:tc>
          <w:tcPr>
            <w:tcW w:w="1058" w:type="dxa"/>
            <w:vMerge w:val="continue"/>
            <w:vAlign w:val="center"/>
          </w:tcPr>
          <w:p>
            <w:pPr>
              <w:widowControl/>
              <w:spacing w:line="240" w:lineRule="exact"/>
              <w:jc w:val="left"/>
              <w:rPr>
                <w:color w:val="000000"/>
                <w:kern w:val="0"/>
                <w:szCs w:val="21"/>
              </w:rPr>
            </w:pPr>
          </w:p>
        </w:tc>
        <w:tc>
          <w:tcPr>
            <w:tcW w:w="1331" w:type="dxa"/>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990"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rPr>
              <w:t>工作合格率</w:t>
            </w:r>
          </w:p>
        </w:tc>
        <w:tc>
          <w:tcPr>
            <w:tcW w:w="1200" w:type="dxa"/>
            <w:noWrap/>
            <w:vAlign w:val="center"/>
          </w:tcPr>
          <w:p>
            <w:pPr>
              <w:widowControl/>
              <w:spacing w:line="240" w:lineRule="exact"/>
              <w:jc w:val="left"/>
              <w:rPr>
                <w:color w:val="000000"/>
                <w:kern w:val="0"/>
                <w:szCs w:val="21"/>
              </w:rPr>
            </w:pPr>
            <w:r>
              <w:rPr>
                <w:rFonts w:hint="eastAsia"/>
                <w:color w:val="000000"/>
                <w:kern w:val="0"/>
                <w:szCs w:val="21"/>
              </w:rPr>
              <w:t>　大于等于90%</w:t>
            </w:r>
          </w:p>
        </w:tc>
        <w:tc>
          <w:tcPr>
            <w:tcW w:w="1920" w:type="dxa"/>
            <w:noWrap/>
            <w:vAlign w:val="center"/>
          </w:tcPr>
          <w:p>
            <w:pPr>
              <w:widowControl/>
              <w:spacing w:line="240" w:lineRule="exact"/>
              <w:jc w:val="left"/>
              <w:rPr>
                <w:color w:val="000000"/>
                <w:kern w:val="0"/>
                <w:szCs w:val="21"/>
              </w:rPr>
            </w:pPr>
            <w:r>
              <w:rPr>
                <w:rFonts w:hint="eastAsia"/>
                <w:color w:val="000000"/>
                <w:kern w:val="0"/>
                <w:szCs w:val="21"/>
              </w:rPr>
              <w:t>合格率90%</w:t>
            </w:r>
          </w:p>
        </w:tc>
        <w:tc>
          <w:tcPr>
            <w:tcW w:w="2203" w:type="dxa"/>
            <w:noWrap/>
            <w:vAlign w:val="center"/>
          </w:tcPr>
          <w:p>
            <w:pPr>
              <w:widowControl/>
              <w:spacing w:line="240" w:lineRule="exact"/>
              <w:jc w:val="left"/>
              <w:rPr>
                <w:color w:val="000000"/>
                <w:kern w:val="0"/>
                <w:szCs w:val="21"/>
              </w:rPr>
            </w:pPr>
            <w:r>
              <w:rPr>
                <w:rFonts w:hint="eastAsia"/>
                <w:color w:val="000000"/>
                <w:kern w:val="0"/>
                <w:szCs w:val="21"/>
              </w:rPr>
              <w:t>　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5" w:type="dxa"/>
            <w:vMerge w:val="continue"/>
            <w:vAlign w:val="center"/>
          </w:tcPr>
          <w:p>
            <w:pPr>
              <w:widowControl/>
              <w:spacing w:line="240" w:lineRule="exact"/>
              <w:jc w:val="left"/>
              <w:rPr>
                <w:color w:val="000000"/>
                <w:kern w:val="0"/>
                <w:szCs w:val="21"/>
              </w:rPr>
            </w:pPr>
          </w:p>
        </w:tc>
        <w:tc>
          <w:tcPr>
            <w:tcW w:w="1058" w:type="dxa"/>
            <w:vMerge w:val="continue"/>
            <w:vAlign w:val="center"/>
          </w:tcPr>
          <w:p>
            <w:pPr>
              <w:widowControl/>
              <w:spacing w:line="240" w:lineRule="exact"/>
              <w:jc w:val="left"/>
              <w:rPr>
                <w:color w:val="000000"/>
                <w:kern w:val="0"/>
                <w:szCs w:val="21"/>
              </w:rPr>
            </w:pPr>
          </w:p>
        </w:tc>
        <w:tc>
          <w:tcPr>
            <w:tcW w:w="1331" w:type="dxa"/>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990"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rPr>
              <w:t>经费投入</w:t>
            </w:r>
          </w:p>
        </w:tc>
        <w:tc>
          <w:tcPr>
            <w:tcW w:w="1200" w:type="dxa"/>
            <w:noWrap/>
            <w:vAlign w:val="center"/>
          </w:tcPr>
          <w:p>
            <w:pPr>
              <w:widowControl/>
              <w:spacing w:line="240" w:lineRule="exact"/>
              <w:jc w:val="left"/>
              <w:rPr>
                <w:color w:val="000000"/>
                <w:kern w:val="0"/>
                <w:szCs w:val="21"/>
              </w:rPr>
            </w:pPr>
            <w:r>
              <w:rPr>
                <w:rFonts w:hint="eastAsia"/>
                <w:color w:val="000000"/>
                <w:kern w:val="0"/>
                <w:szCs w:val="21"/>
              </w:rPr>
              <w:t>　小于等于</w:t>
            </w:r>
            <w:r>
              <w:rPr>
                <w:rFonts w:hint="eastAsia"/>
                <w:color w:val="000000"/>
                <w:kern w:val="0"/>
                <w:szCs w:val="21"/>
                <w:lang w:val="en-US" w:eastAsia="zh-CN"/>
              </w:rPr>
              <w:t>312</w:t>
            </w:r>
            <w:r>
              <w:rPr>
                <w:rFonts w:hint="eastAsia"/>
                <w:color w:val="000000"/>
                <w:kern w:val="0"/>
                <w:szCs w:val="21"/>
              </w:rPr>
              <w:t>000元</w:t>
            </w:r>
          </w:p>
        </w:tc>
        <w:tc>
          <w:tcPr>
            <w:tcW w:w="1920" w:type="dxa"/>
            <w:noWrap/>
            <w:vAlign w:val="center"/>
          </w:tcPr>
          <w:p>
            <w:pPr>
              <w:widowControl/>
              <w:spacing w:line="240" w:lineRule="exact"/>
              <w:jc w:val="left"/>
              <w:rPr>
                <w:color w:val="000000"/>
                <w:kern w:val="0"/>
                <w:szCs w:val="21"/>
              </w:rPr>
            </w:pPr>
            <w:r>
              <w:rPr>
                <w:rFonts w:hint="eastAsia"/>
                <w:color w:val="000000"/>
                <w:kern w:val="0"/>
                <w:szCs w:val="21"/>
              </w:rPr>
              <w:t>财政拨款</w:t>
            </w:r>
            <w:r>
              <w:rPr>
                <w:rFonts w:hint="eastAsia"/>
                <w:color w:val="000000"/>
                <w:kern w:val="0"/>
                <w:szCs w:val="21"/>
                <w:lang w:val="en-US" w:eastAsia="zh-CN"/>
              </w:rPr>
              <w:t>312</w:t>
            </w:r>
            <w:bookmarkStart w:id="0" w:name="_GoBack"/>
            <w:bookmarkEnd w:id="0"/>
            <w:r>
              <w:rPr>
                <w:rFonts w:hint="eastAsia"/>
                <w:color w:val="000000"/>
                <w:kern w:val="0"/>
                <w:szCs w:val="21"/>
              </w:rPr>
              <w:t>000元。</w:t>
            </w:r>
          </w:p>
        </w:tc>
        <w:tc>
          <w:tcPr>
            <w:tcW w:w="2203" w:type="dxa"/>
            <w:noWrap/>
            <w:vAlign w:val="center"/>
          </w:tcPr>
          <w:p>
            <w:pPr>
              <w:widowControl/>
              <w:spacing w:line="240" w:lineRule="exact"/>
              <w:jc w:val="left"/>
              <w:rPr>
                <w:color w:val="000000"/>
                <w:kern w:val="0"/>
                <w:szCs w:val="21"/>
              </w:rPr>
            </w:pPr>
            <w:r>
              <w:rPr>
                <w:rFonts w:hint="eastAsia"/>
                <w:color w:val="000000"/>
                <w:kern w:val="0"/>
                <w:szCs w:val="21"/>
              </w:rPr>
              <w:t>　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5" w:type="dxa"/>
            <w:vMerge w:val="continue"/>
            <w:vAlign w:val="center"/>
          </w:tcPr>
          <w:p>
            <w:pPr>
              <w:widowControl/>
              <w:spacing w:line="240" w:lineRule="exact"/>
              <w:jc w:val="left"/>
              <w:rPr>
                <w:color w:val="000000"/>
                <w:kern w:val="0"/>
                <w:szCs w:val="21"/>
              </w:rPr>
            </w:pPr>
          </w:p>
        </w:tc>
        <w:tc>
          <w:tcPr>
            <w:tcW w:w="1058" w:type="dxa"/>
            <w:noWrap/>
            <w:vAlign w:val="center"/>
          </w:tcPr>
          <w:p>
            <w:pPr>
              <w:widowControl/>
              <w:spacing w:line="240" w:lineRule="exact"/>
              <w:jc w:val="center"/>
              <w:rPr>
                <w:color w:val="000000"/>
                <w:kern w:val="0"/>
                <w:szCs w:val="21"/>
              </w:rPr>
            </w:pPr>
            <w:r>
              <w:rPr>
                <w:rFonts w:hint="eastAsia" w:cs="宋体"/>
                <w:color w:val="000000"/>
                <w:kern w:val="0"/>
                <w:szCs w:val="21"/>
              </w:rPr>
              <w:t>项目</w:t>
            </w:r>
          </w:p>
          <w:p>
            <w:pPr>
              <w:widowControl/>
              <w:jc w:val="center"/>
              <w:rPr>
                <w:color w:val="000000"/>
                <w:kern w:val="0"/>
                <w:szCs w:val="21"/>
              </w:rPr>
            </w:pPr>
            <w:r>
              <w:rPr>
                <w:rFonts w:hint="eastAsia"/>
                <w:color w:val="000000"/>
                <w:szCs w:val="21"/>
              </w:rPr>
              <w:t>效益</w:t>
            </w:r>
          </w:p>
        </w:tc>
        <w:tc>
          <w:tcPr>
            <w:tcW w:w="1331" w:type="dxa"/>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990"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rPr>
              <w:t>环境质量提升</w:t>
            </w:r>
          </w:p>
        </w:tc>
        <w:tc>
          <w:tcPr>
            <w:tcW w:w="1200" w:type="dxa"/>
            <w:noWrap/>
            <w:vAlign w:val="center"/>
          </w:tcPr>
          <w:p>
            <w:pPr>
              <w:widowControl/>
              <w:spacing w:line="240" w:lineRule="exact"/>
              <w:jc w:val="left"/>
              <w:rPr>
                <w:color w:val="000000"/>
                <w:kern w:val="0"/>
                <w:szCs w:val="21"/>
              </w:rPr>
            </w:pPr>
            <w:r>
              <w:rPr>
                <w:rFonts w:hint="eastAsia"/>
                <w:color w:val="000000"/>
                <w:kern w:val="0"/>
                <w:szCs w:val="21"/>
              </w:rPr>
              <w:t>　等于100%</w:t>
            </w:r>
          </w:p>
        </w:tc>
        <w:tc>
          <w:tcPr>
            <w:tcW w:w="1920" w:type="dxa"/>
            <w:noWrap/>
            <w:vAlign w:val="center"/>
          </w:tcPr>
          <w:p>
            <w:pPr>
              <w:widowControl/>
              <w:spacing w:line="240" w:lineRule="exact"/>
              <w:jc w:val="left"/>
              <w:rPr>
                <w:color w:val="000000"/>
                <w:kern w:val="0"/>
                <w:szCs w:val="21"/>
              </w:rPr>
            </w:pPr>
            <w:r>
              <w:rPr>
                <w:rFonts w:hint="eastAsia"/>
                <w:color w:val="000000"/>
                <w:kern w:val="0"/>
                <w:szCs w:val="21"/>
              </w:rPr>
              <w:t>环境质量100%提升</w:t>
            </w:r>
          </w:p>
        </w:tc>
        <w:tc>
          <w:tcPr>
            <w:tcW w:w="2203" w:type="dxa"/>
            <w:noWrap/>
            <w:vAlign w:val="center"/>
          </w:tcPr>
          <w:p>
            <w:pPr>
              <w:widowControl/>
              <w:spacing w:line="240" w:lineRule="exact"/>
              <w:jc w:val="left"/>
              <w:rPr>
                <w:color w:val="000000"/>
                <w:kern w:val="0"/>
                <w:szCs w:val="21"/>
              </w:rPr>
            </w:pPr>
            <w:r>
              <w:rPr>
                <w:rFonts w:hint="eastAsia"/>
                <w:color w:val="000000"/>
                <w:kern w:val="0"/>
                <w:szCs w:val="21"/>
              </w:rPr>
              <w:t>　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5" w:type="dxa"/>
            <w:vMerge w:val="continue"/>
            <w:vAlign w:val="center"/>
          </w:tcPr>
          <w:p>
            <w:pPr>
              <w:widowControl/>
              <w:spacing w:line="240" w:lineRule="exact"/>
              <w:jc w:val="left"/>
              <w:rPr>
                <w:color w:val="000000"/>
                <w:kern w:val="0"/>
                <w:szCs w:val="21"/>
              </w:rPr>
            </w:pPr>
          </w:p>
        </w:tc>
        <w:tc>
          <w:tcPr>
            <w:tcW w:w="1058" w:type="dxa"/>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1331" w:type="dxa"/>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990"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rPr>
              <w:t>群众满意度</w:t>
            </w:r>
          </w:p>
        </w:tc>
        <w:tc>
          <w:tcPr>
            <w:tcW w:w="1200" w:type="dxa"/>
            <w:noWrap/>
            <w:vAlign w:val="center"/>
          </w:tcPr>
          <w:p>
            <w:pPr>
              <w:widowControl/>
              <w:spacing w:line="240" w:lineRule="exact"/>
              <w:jc w:val="left"/>
              <w:rPr>
                <w:color w:val="000000"/>
                <w:kern w:val="0"/>
                <w:szCs w:val="21"/>
              </w:rPr>
            </w:pPr>
            <w:r>
              <w:rPr>
                <w:rFonts w:hint="eastAsia"/>
                <w:color w:val="000000"/>
                <w:kern w:val="0"/>
                <w:szCs w:val="21"/>
              </w:rPr>
              <w:t>　大于等于90%</w:t>
            </w:r>
          </w:p>
        </w:tc>
        <w:tc>
          <w:tcPr>
            <w:tcW w:w="1920" w:type="dxa"/>
            <w:noWrap/>
            <w:vAlign w:val="center"/>
          </w:tcPr>
          <w:p>
            <w:pPr>
              <w:widowControl/>
              <w:spacing w:line="240" w:lineRule="exact"/>
              <w:jc w:val="left"/>
              <w:rPr>
                <w:color w:val="000000"/>
                <w:kern w:val="0"/>
                <w:szCs w:val="21"/>
              </w:rPr>
            </w:pPr>
            <w:r>
              <w:rPr>
                <w:rFonts w:hint="eastAsia"/>
                <w:color w:val="000000"/>
                <w:kern w:val="0"/>
                <w:szCs w:val="21"/>
              </w:rPr>
              <w:t>满意率95%</w:t>
            </w:r>
          </w:p>
        </w:tc>
        <w:tc>
          <w:tcPr>
            <w:tcW w:w="2203" w:type="dxa"/>
            <w:noWrap/>
            <w:vAlign w:val="center"/>
          </w:tcPr>
          <w:p>
            <w:pPr>
              <w:widowControl/>
              <w:spacing w:line="240" w:lineRule="exact"/>
              <w:jc w:val="left"/>
              <w:rPr>
                <w:color w:val="000000"/>
                <w:kern w:val="0"/>
                <w:szCs w:val="21"/>
              </w:rPr>
            </w:pPr>
            <w:r>
              <w:rPr>
                <w:rFonts w:hint="eastAsia"/>
                <w:color w:val="000000"/>
                <w:kern w:val="0"/>
                <w:szCs w:val="21"/>
              </w:rPr>
              <w:t>　无</w:t>
            </w:r>
          </w:p>
        </w:tc>
      </w:tr>
    </w:tbl>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425" w:num="1"/>
          <w:docGrid w:type="line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方正楷体简体">
    <w:altName w:val="宋体"/>
    <w:panose1 w:val="02010601030101010101"/>
    <w:charset w:val="86"/>
    <w:family w:val="auto"/>
    <w:pitch w:val="default"/>
    <w:sig w:usb0="00000000" w:usb1="00000000" w:usb2="0000001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黑体简体">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auto"/>
    <w:pitch w:val="default"/>
    <w:sig w:usb0="00000000" w:usb1="00000000" w:usb2="00000000" w:usb3="00000000" w:csb0="0000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E906C5"/>
    <w:multiLevelType w:val="singleLevel"/>
    <w:tmpl w:val="C1E906C5"/>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166A1634"/>
    <w:rsid w:val="00715920"/>
    <w:rsid w:val="00A74F7B"/>
    <w:rsid w:val="00C36537"/>
    <w:rsid w:val="00DB391A"/>
    <w:rsid w:val="00E10E36"/>
    <w:rsid w:val="00FD4549"/>
    <w:rsid w:val="04820C8B"/>
    <w:rsid w:val="04C30C08"/>
    <w:rsid w:val="07255775"/>
    <w:rsid w:val="0877684F"/>
    <w:rsid w:val="114F6E57"/>
    <w:rsid w:val="1540362C"/>
    <w:rsid w:val="166A1634"/>
    <w:rsid w:val="16B254FE"/>
    <w:rsid w:val="1C270FFE"/>
    <w:rsid w:val="1EB112B2"/>
    <w:rsid w:val="1F5A30EE"/>
    <w:rsid w:val="23F225D0"/>
    <w:rsid w:val="24180310"/>
    <w:rsid w:val="24891FEA"/>
    <w:rsid w:val="33EB1158"/>
    <w:rsid w:val="3ADE284E"/>
    <w:rsid w:val="3B345D74"/>
    <w:rsid w:val="3B786F70"/>
    <w:rsid w:val="3F0D3559"/>
    <w:rsid w:val="409B2D0F"/>
    <w:rsid w:val="411A319E"/>
    <w:rsid w:val="411F054E"/>
    <w:rsid w:val="41F526D7"/>
    <w:rsid w:val="43625443"/>
    <w:rsid w:val="45A246BE"/>
    <w:rsid w:val="47BA2B0B"/>
    <w:rsid w:val="48913842"/>
    <w:rsid w:val="49900F80"/>
    <w:rsid w:val="4A6333A9"/>
    <w:rsid w:val="4AEA0CC1"/>
    <w:rsid w:val="4CD420DC"/>
    <w:rsid w:val="4E3D5E94"/>
    <w:rsid w:val="4E503E70"/>
    <w:rsid w:val="4FED2999"/>
    <w:rsid w:val="50E74199"/>
    <w:rsid w:val="511230A3"/>
    <w:rsid w:val="5993458F"/>
    <w:rsid w:val="602D1ED6"/>
    <w:rsid w:val="623D6F0C"/>
    <w:rsid w:val="643917C2"/>
    <w:rsid w:val="66BE19A5"/>
    <w:rsid w:val="6982394C"/>
    <w:rsid w:val="6FD00252"/>
    <w:rsid w:val="77E903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semiHidden/>
    <w:qFormat/>
    <w:uiPriority w:val="0"/>
    <w:pPr>
      <w:spacing w:after="120"/>
    </w:pPr>
    <w:rPr>
      <w:rFonts w:ascii="Calibri" w:hAnsi="Calibri" w:cs="宋体"/>
      <w:kern w:val="0"/>
      <w:sz w:val="20"/>
      <w:szCs w:val="21"/>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kern w:val="0"/>
      <w:sz w:val="24"/>
    </w:rPr>
  </w:style>
  <w:style w:type="character" w:styleId="8">
    <w:name w:val="Strong"/>
    <w:basedOn w:val="7"/>
    <w:qFormat/>
    <w:uiPriority w:val="0"/>
    <w:rPr>
      <w:b/>
    </w:rPr>
  </w:style>
  <w:style w:type="character" w:customStyle="1" w:styleId="9">
    <w:name w:val="页眉 Char"/>
    <w:basedOn w:val="7"/>
    <w:link w:val="4"/>
    <w:qFormat/>
    <w:uiPriority w:val="0"/>
    <w:rPr>
      <w:kern w:val="2"/>
      <w:sz w:val="18"/>
      <w:szCs w:val="18"/>
    </w:rPr>
  </w:style>
  <w:style w:type="character" w:customStyle="1" w:styleId="10">
    <w:name w:val="页脚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786</Words>
  <Characters>4482</Characters>
  <Lines>37</Lines>
  <Paragraphs>10</Paragraphs>
  <TotalTime>12</TotalTime>
  <ScaleCrop>false</ScaleCrop>
  <LinksUpToDate>false</LinksUpToDate>
  <CharactersWithSpaces>5258</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2022-08-08T01:57:00Z</dcterms:created>
  <dc:creator>cpa</dc:creator>
  <cp:lastModifiedBy>邱少泉</cp:lastModifiedBy>
  <dcterms:modified xsi:type="dcterms:W3CDTF">2023-11-13T08:01:52Z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39A52BF9DA6440348AF970972D7A8D9F</vt:lpwstr>
  </property>
</Properties>
</file>